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8B4" w:rsidRDefault="00E62734" w:rsidP="004278B4">
      <w:pPr>
        <w:widowControl/>
        <w:ind w:left="3240" w:firstLine="0"/>
        <w:jc w:val="right"/>
        <w:rPr>
          <w:sz w:val="22"/>
          <w:szCs w:val="22"/>
        </w:rPr>
      </w:pPr>
      <w:bookmarkStart w:id="0" w:name="_GoBack"/>
      <w:bookmarkEnd w:id="0"/>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rsidR="00755D30" w:rsidRDefault="00755D30">
      <w:pPr>
        <w:widowControl/>
        <w:ind w:left="5102" w:firstLine="0"/>
        <w:jc w:val="right"/>
        <w:rPr>
          <w:sz w:val="22"/>
          <w:szCs w:val="22"/>
        </w:rPr>
      </w:pPr>
    </w:p>
    <w:p w:rsidR="00755D30" w:rsidRDefault="00755D30">
      <w:pPr>
        <w:widowControl/>
        <w:ind w:left="5102" w:firstLine="0"/>
        <w:jc w:val="both"/>
        <w:rPr>
          <w:sz w:val="22"/>
          <w:szCs w:val="22"/>
        </w:rPr>
      </w:pPr>
    </w:p>
    <w:p w:rsidR="004278B4" w:rsidRDefault="00E62734" w:rsidP="004278B4">
      <w:pPr>
        <w:tabs>
          <w:tab w:val="left" w:pos="3192"/>
          <w:tab w:val="right" w:leader="underscore" w:pos="8640"/>
        </w:tabs>
        <w:ind w:left="5103" w:hanging="4923"/>
        <w:rPr>
          <w:b/>
          <w:sz w:val="24"/>
        </w:rPr>
      </w:pPr>
      <w:r>
        <w:rPr>
          <w:b/>
          <w:sz w:val="24"/>
        </w:rPr>
        <w:t xml:space="preserve">NEPERTRAUKIAMOS ELEKTROS MAITINIMO SISTEMOS (GENERATORIAUS) ĮRENGIMO </w:t>
      </w:r>
    </w:p>
    <w:p w:rsidR="00755D30" w:rsidRDefault="004278B4" w:rsidP="004278B4">
      <w:pPr>
        <w:tabs>
          <w:tab w:val="left" w:pos="3192"/>
          <w:tab w:val="right" w:leader="underscore" w:pos="8640"/>
        </w:tabs>
        <w:ind w:left="5103" w:hanging="4923"/>
        <w:rPr>
          <w:b/>
          <w:sz w:val="24"/>
        </w:rPr>
      </w:pPr>
      <w:r>
        <w:rPr>
          <w:b/>
          <w:sz w:val="24"/>
        </w:rPr>
        <w:t xml:space="preserve">                                                     </w:t>
      </w:r>
      <w:r w:rsidR="00E62734">
        <w:rPr>
          <w:b/>
          <w:sz w:val="24"/>
        </w:rPr>
        <w:t>TECHNINĖ SPECIFIKACIJA</w:t>
      </w:r>
    </w:p>
    <w:p w:rsidR="00755D30" w:rsidRDefault="00755D30">
      <w:pPr>
        <w:tabs>
          <w:tab w:val="left" w:pos="3192"/>
          <w:tab w:val="right" w:leader="underscore" w:pos="8640"/>
        </w:tabs>
        <w:ind w:left="5103" w:hanging="4923"/>
        <w:jc w:val="both"/>
        <w:rPr>
          <w:b/>
          <w:sz w:val="18"/>
          <w:szCs w:val="18"/>
        </w:rPr>
      </w:pPr>
    </w:p>
    <w:p w:rsidR="00755D30" w:rsidRDefault="00E62734">
      <w:pPr>
        <w:tabs>
          <w:tab w:val="left" w:pos="360"/>
          <w:tab w:val="left" w:pos="3192"/>
          <w:tab w:val="right" w:leader="underscore" w:pos="8280"/>
        </w:tabs>
        <w:ind w:left="360" w:right="279" w:firstLine="0"/>
        <w:jc w:val="both"/>
        <w:rPr>
          <w:i/>
          <w:sz w:val="18"/>
          <w:szCs w:val="18"/>
        </w:rPr>
      </w:pPr>
      <w:r>
        <w:rPr>
          <w:i/>
          <w:sz w:val="18"/>
          <w:szCs w:val="18"/>
        </w:rPr>
        <w:t xml:space="preserve">(Techninę specifikaciją  parengia perkančioji organizacija, atsižvelgdama į perkamų prekių specifiką bei vadovaudamasi Įstatymo 37, 38 ir 39 str. įtvirtintais reikalavimais) </w:t>
      </w:r>
    </w:p>
    <w:p w:rsidR="00755D30" w:rsidRDefault="00755D30">
      <w:pPr>
        <w:tabs>
          <w:tab w:val="right" w:leader="underscore" w:pos="8280"/>
        </w:tabs>
        <w:ind w:left="360" w:right="279" w:hanging="4925"/>
        <w:jc w:val="both"/>
        <w:rPr>
          <w:sz w:val="22"/>
          <w:szCs w:val="22"/>
        </w:rPr>
      </w:pPr>
    </w:p>
    <w:p w:rsidR="00755D30" w:rsidRDefault="00E62734">
      <w:pPr>
        <w:pStyle w:val="BodyText2"/>
        <w:numPr>
          <w:ilvl w:val="0"/>
          <w:numId w:val="1"/>
        </w:numPr>
        <w:pBdr>
          <w:top w:val="single" w:sz="4" w:space="1" w:color="000000"/>
          <w:left w:val="single" w:sz="4" w:space="4" w:color="000000"/>
          <w:bottom w:val="single" w:sz="4" w:space="2" w:color="000000"/>
          <w:right w:val="single" w:sz="4" w:space="4" w:color="000000"/>
        </w:pBdr>
        <w:tabs>
          <w:tab w:val="right" w:leader="underscore" w:pos="8280"/>
        </w:tabs>
        <w:spacing w:line="240" w:lineRule="auto"/>
        <w:ind w:right="279" w:hanging="468"/>
        <w:rPr>
          <w:rFonts w:ascii="Arial" w:hAnsi="Arial" w:cs="Arial"/>
          <w:b/>
          <w:bCs/>
          <w:sz w:val="22"/>
          <w:szCs w:val="22"/>
        </w:rPr>
      </w:pPr>
      <w:r>
        <w:rPr>
          <w:rFonts w:ascii="Arial" w:hAnsi="Arial" w:cs="Arial"/>
          <w:b/>
          <w:bCs/>
          <w:sz w:val="22"/>
          <w:szCs w:val="22"/>
        </w:rPr>
        <w:t>Reikalaujami perkamų prekių parametrai</w:t>
      </w:r>
    </w:p>
    <w:p w:rsidR="00755D30" w:rsidRDefault="00E62734">
      <w:pPr>
        <w:pStyle w:val="BodyText2"/>
        <w:pBdr>
          <w:top w:val="single" w:sz="4" w:space="1" w:color="000000"/>
          <w:left w:val="single" w:sz="4" w:space="4" w:color="000000"/>
          <w:bottom w:val="single" w:sz="4" w:space="2" w:color="000000"/>
          <w:right w:val="single" w:sz="4" w:space="4" w:color="000000"/>
        </w:pBdr>
        <w:tabs>
          <w:tab w:val="right" w:leader="underscore" w:pos="8280"/>
        </w:tabs>
        <w:spacing w:line="240" w:lineRule="auto"/>
        <w:ind w:left="360" w:right="279" w:hanging="108"/>
        <w:rPr>
          <w:rFonts w:ascii="Arial" w:hAnsi="Arial" w:cs="Arial"/>
          <w:i/>
          <w:sz w:val="18"/>
          <w:szCs w:val="18"/>
        </w:rPr>
      </w:pPr>
      <w:r>
        <w:rPr>
          <w:rFonts w:ascii="Arial" w:hAnsi="Arial" w:cs="Arial"/>
          <w:i/>
          <w:sz w:val="22"/>
          <w:szCs w:val="22"/>
        </w:rPr>
        <w:t>(</w:t>
      </w:r>
      <w:r>
        <w:rPr>
          <w:rFonts w:ascii="Arial" w:hAnsi="Arial" w:cs="Arial"/>
          <w:i/>
          <w:sz w:val="18"/>
          <w:szCs w:val="18"/>
        </w:rPr>
        <w:t>Pateikiamas perkamų prekių aprašymas, numatomi reikalavimai jų atskiriems parametrams, perkamų prekių suderinamumo su turimomis prekėmis reikalavimai ir pan.)</w:t>
      </w:r>
    </w:p>
    <w:p w:rsidR="00CC6338" w:rsidRPr="00CC6338" w:rsidRDefault="00CC6338">
      <w:pPr>
        <w:pStyle w:val="BodyText2"/>
        <w:pBdr>
          <w:top w:val="single" w:sz="4" w:space="1" w:color="000000"/>
          <w:left w:val="single" w:sz="4" w:space="4" w:color="000000"/>
          <w:bottom w:val="single" w:sz="4" w:space="2" w:color="000000"/>
          <w:right w:val="single" w:sz="4" w:space="4" w:color="000000"/>
        </w:pBdr>
        <w:tabs>
          <w:tab w:val="right" w:leader="underscore" w:pos="8280"/>
        </w:tabs>
        <w:spacing w:line="240" w:lineRule="auto"/>
        <w:ind w:left="360" w:right="279" w:hanging="108"/>
        <w:rPr>
          <w:rFonts w:ascii="Arial" w:hAnsi="Arial" w:cs="Arial"/>
          <w:b/>
          <w:sz w:val="20"/>
        </w:rPr>
      </w:pPr>
      <w:r w:rsidRPr="00CC6338">
        <w:rPr>
          <w:rFonts w:ascii="Arial" w:hAnsi="Arial" w:cs="Arial"/>
          <w:b/>
          <w:color w:val="222222"/>
          <w:sz w:val="20"/>
        </w:rPr>
        <w:t>Pirkimo objektui apibūdinti nurodyti konkretūs techniniai parametrai, technologijos, procesai, gamintojai ar prekės ženklai, standartai ir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tbl>
      <w:tblPr>
        <w:tblStyle w:val="TableGrid"/>
        <w:tblW w:w="10496" w:type="dxa"/>
        <w:jc w:val="center"/>
        <w:tblLayout w:type="fixed"/>
        <w:tblCellMar>
          <w:left w:w="5" w:type="dxa"/>
          <w:right w:w="5" w:type="dxa"/>
        </w:tblCellMar>
        <w:tblLook w:val="04A0" w:firstRow="1" w:lastRow="0" w:firstColumn="1" w:lastColumn="0" w:noHBand="0" w:noVBand="1"/>
      </w:tblPr>
      <w:tblGrid>
        <w:gridCol w:w="704"/>
        <w:gridCol w:w="9792"/>
      </w:tblGrid>
      <w:tr w:rsidR="00755D30">
        <w:trPr>
          <w:jc w:val="center"/>
        </w:trPr>
        <w:tc>
          <w:tcPr>
            <w:tcW w:w="704" w:type="dxa"/>
            <w:vAlign w:val="center"/>
          </w:tcPr>
          <w:p w:rsidR="00755D30" w:rsidRDefault="00E62734">
            <w:pPr>
              <w:pStyle w:val="BodyText2"/>
              <w:widowControl w:val="0"/>
              <w:tabs>
                <w:tab w:val="right" w:leader="underscore" w:pos="8280"/>
              </w:tabs>
              <w:spacing w:line="240" w:lineRule="auto"/>
              <w:jc w:val="center"/>
              <w:rPr>
                <w:rFonts w:ascii="Arial" w:hAnsi="Arial" w:cs="Arial"/>
                <w:b/>
                <w:sz w:val="22"/>
                <w:szCs w:val="22"/>
              </w:rPr>
            </w:pPr>
            <w:r>
              <w:rPr>
                <w:rFonts w:ascii="Arial" w:hAnsi="Arial" w:cs="Arial"/>
                <w:b/>
                <w:sz w:val="22"/>
                <w:szCs w:val="22"/>
              </w:rPr>
              <w:t>Nr.</w:t>
            </w:r>
          </w:p>
        </w:tc>
        <w:tc>
          <w:tcPr>
            <w:tcW w:w="9791" w:type="dxa"/>
            <w:vAlign w:val="center"/>
          </w:tcPr>
          <w:p w:rsidR="00755D30" w:rsidRDefault="00E62734">
            <w:pPr>
              <w:pStyle w:val="BodyText2"/>
              <w:widowControl w:val="0"/>
              <w:tabs>
                <w:tab w:val="right" w:leader="underscore" w:pos="8280"/>
              </w:tabs>
              <w:spacing w:line="240" w:lineRule="auto"/>
              <w:ind w:right="279"/>
              <w:jc w:val="center"/>
              <w:rPr>
                <w:rFonts w:ascii="Arial" w:hAnsi="Arial" w:cs="Arial"/>
                <w:b/>
                <w:sz w:val="22"/>
                <w:szCs w:val="22"/>
              </w:rPr>
            </w:pPr>
            <w:r>
              <w:rPr>
                <w:rFonts w:ascii="Arial" w:hAnsi="Arial" w:cs="Arial"/>
                <w:b/>
                <w:sz w:val="22"/>
                <w:szCs w:val="22"/>
              </w:rPr>
              <w:t xml:space="preserve">Reikalavimo pavadinimas </w:t>
            </w:r>
          </w:p>
        </w:tc>
      </w:tr>
      <w:tr w:rsidR="00755D30">
        <w:trPr>
          <w:trHeight w:val="1134"/>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b/>
                <w:sz w:val="22"/>
                <w:szCs w:val="22"/>
              </w:rPr>
            </w:pPr>
            <w:r>
              <w:rPr>
                <w:rFonts w:ascii="Arial" w:hAnsi="Arial" w:cs="Arial"/>
                <w:b/>
                <w:sz w:val="22"/>
                <w:szCs w:val="22"/>
              </w:rPr>
              <w:t>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b/>
                <w:sz w:val="22"/>
                <w:szCs w:val="22"/>
              </w:rPr>
            </w:pPr>
            <w:r>
              <w:rPr>
                <w:rFonts w:ascii="Arial" w:hAnsi="Arial" w:cs="Arial"/>
                <w:b/>
                <w:sz w:val="22"/>
                <w:szCs w:val="22"/>
              </w:rPr>
              <w:t>Nepertraukiamos elektros maitinimo sistemos (generatoriaus) ir ARĮ skydo įrengimas (toliau – generatorius) skirtas elektros energijai gaminti ir tiekti Valstybinio patologijos centro Vilniaus universiteto ligoninės Santaros klinikų filialo elektros įrenginiams nutrūkus elektros energijos tiekimui iš energijos skirstymo operatoriaus (ESO):</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1.1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bookmarkStart w:id="1" w:name="_Hlk114516390"/>
            <w:r>
              <w:rPr>
                <w:rFonts w:ascii="Arial" w:hAnsi="Arial" w:cs="Arial"/>
                <w:sz w:val="22"/>
                <w:szCs w:val="22"/>
              </w:rPr>
              <w:t>Nominalus galingumas (PRP) ne mažesnis kaip 200 kW – 1 vnt.;</w:t>
            </w:r>
            <w:bookmarkEnd w:id="1"/>
          </w:p>
        </w:tc>
      </w:tr>
      <w:tr w:rsidR="00755D30">
        <w:trPr>
          <w:trHeight w:val="64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b/>
                <w:bCs/>
                <w:sz w:val="22"/>
                <w:szCs w:val="22"/>
                <w:lang w:val="en-US"/>
              </w:rPr>
            </w:pPr>
            <w:r>
              <w:rPr>
                <w:rFonts w:ascii="Arial" w:hAnsi="Arial" w:cs="Arial"/>
                <w:b/>
                <w:bCs/>
                <w:sz w:val="22"/>
                <w:szCs w:val="22"/>
                <w:lang w:val="en-US"/>
              </w:rPr>
              <w:t>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b/>
                <w:bCs/>
                <w:sz w:val="22"/>
                <w:szCs w:val="22"/>
              </w:rPr>
            </w:pPr>
            <w:r>
              <w:rPr>
                <w:rFonts w:ascii="Arial" w:hAnsi="Arial" w:cs="Arial"/>
                <w:b/>
                <w:bCs/>
                <w:sz w:val="22"/>
                <w:szCs w:val="22"/>
              </w:rPr>
              <w:t>Bendrieji reikalavimai generatoriui, ARĮ skydui ir jų pajungimui</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ir ARĮ skydas turi būti nauji (pagaminti ne vėliau kaip 202</w:t>
            </w:r>
            <w:r w:rsidR="004278B4">
              <w:rPr>
                <w:rFonts w:ascii="Arial" w:hAnsi="Arial" w:cs="Arial"/>
                <w:sz w:val="22"/>
                <w:szCs w:val="22"/>
              </w:rPr>
              <w:t>4</w:t>
            </w:r>
            <w:r>
              <w:rPr>
                <w:rFonts w:ascii="Arial" w:hAnsi="Arial" w:cs="Arial"/>
                <w:sz w:val="22"/>
                <w:szCs w:val="22"/>
              </w:rPr>
              <w:t xml:space="preserve"> metais), sukomplektuoti ir paruošti eksploatacijai;</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turėti kilmės dokumentus lietuvių arba anglų kalba, naudojimo instrukciją ir priežiūrą reglamentuojančią dokumentaciją lietuvių kalba;</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2.3</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Turi turėti atsarginių dalių katalogą;</w:t>
            </w:r>
          </w:p>
        </w:tc>
      </w:tr>
      <w:tr w:rsidR="00755D30">
        <w:trPr>
          <w:trHeight w:val="1100"/>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2.4</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Generatoriui ir ARĮ skydui Tiekėjas turi suprojektuoti, suderinti projektą su pirkėju bei, esant reikalui, kitais požeminių komunikacijų atstovais ir savo lėšomis įrengti pirkėjo nurodytoje vietoje atitinkamo dydžio ir tvirtumo (priklausomai nuo generatoriaus gabaritų ir masės) betono ir/ar betoninių trinkelių pagrindą-aikštelę; </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2.5</w:t>
            </w:r>
          </w:p>
        </w:tc>
        <w:tc>
          <w:tcPr>
            <w:tcW w:w="9791" w:type="dxa"/>
            <w:shd w:val="clear" w:color="auto" w:fill="auto"/>
            <w:vAlign w:val="center"/>
          </w:tcPr>
          <w:p w:rsidR="00755D30" w:rsidRDefault="00E62734">
            <w:pPr>
              <w:ind w:firstLine="0"/>
              <w:jc w:val="both"/>
              <w:rPr>
                <w:sz w:val="22"/>
                <w:szCs w:val="22"/>
              </w:rPr>
            </w:pPr>
            <w:r>
              <w:rPr>
                <w:sz w:val="22"/>
                <w:szCs w:val="22"/>
              </w:rPr>
              <w:t>Generatoriaus prijungimui prie Valstybinio patologijos centro Vilniaus universiteto ligoninės Santaros klinikų filialo elektros įrenginių Tiekėjas turi suprojektuoti, suderinti projektą su pirkėju bei, esant reikalui, kitais požeminių komunikacijų</w:t>
            </w:r>
            <w:r w:rsidR="004278B4">
              <w:rPr>
                <w:sz w:val="22"/>
                <w:szCs w:val="22"/>
              </w:rPr>
              <w:t xml:space="preserve"> ir elektros tiekimo </w:t>
            </w:r>
            <w:r>
              <w:rPr>
                <w:sz w:val="22"/>
                <w:szCs w:val="22"/>
              </w:rPr>
              <w:t>atstovais ir savo lėšomis įrengti</w:t>
            </w:r>
            <w:r w:rsidR="004278B4">
              <w:rPr>
                <w:sz w:val="22"/>
                <w:szCs w:val="22"/>
              </w:rPr>
              <w:t xml:space="preserve"> ARĮ skydą,</w:t>
            </w:r>
            <w:r>
              <w:rPr>
                <w:sz w:val="22"/>
                <w:szCs w:val="22"/>
              </w:rPr>
              <w:t xml:space="preserve"> jėgos bei kitų technologinių kabelių (generatoriaus pajungimo, akumuliatoriaus įkrovimo, kuro ir/ar aušinimo skysčio pašildymo sistemų ir pan.) paklojimo trasas, kabelius ir komutacinius įrenginius, elektros skydus. Projektavimo ir įrengimo metu būtina laikytis elektros įrenginių įrengimo taisyklių (EĮĮT) reikalavimų.</w:t>
            </w:r>
          </w:p>
          <w:p w:rsidR="00755D30" w:rsidRDefault="00E62734">
            <w:pPr>
              <w:ind w:firstLine="0"/>
              <w:jc w:val="both"/>
              <w:rPr>
                <w:sz w:val="22"/>
                <w:szCs w:val="22"/>
              </w:rPr>
            </w:pPr>
            <w:r>
              <w:rPr>
                <w:sz w:val="22"/>
                <w:szCs w:val="22"/>
              </w:rPr>
              <w:t>Generatorius turėtų automatiškai įsijungti dingus ele</w:t>
            </w:r>
            <w:r w:rsidR="000C1BEF">
              <w:rPr>
                <w:sz w:val="22"/>
                <w:szCs w:val="22"/>
              </w:rPr>
              <w:t>k</w:t>
            </w:r>
            <w:r>
              <w:rPr>
                <w:sz w:val="22"/>
                <w:szCs w:val="22"/>
              </w:rPr>
              <w:t>tros energijos tiekimui įvaduose Nr. 1 ir Nr. 2 ir automatiškai išsijungti vėl jam atsiradus.</w:t>
            </w:r>
          </w:p>
          <w:p w:rsidR="00755D30" w:rsidRDefault="00E62734">
            <w:pPr>
              <w:ind w:firstLine="0"/>
              <w:jc w:val="both"/>
              <w:rPr>
                <w:sz w:val="22"/>
                <w:szCs w:val="22"/>
              </w:rPr>
            </w:pPr>
            <w:r>
              <w:rPr>
                <w:sz w:val="22"/>
                <w:szCs w:val="22"/>
              </w:rPr>
              <w:t>Montavimo ir paleidimo – derinimo darbai vykdomi nepertraukiant Valstybinio patologijos centro darbo.</w:t>
            </w:r>
          </w:p>
          <w:p w:rsidR="00755D30" w:rsidRDefault="00755D30">
            <w:pPr>
              <w:pStyle w:val="BodyText2"/>
              <w:widowControl w:val="0"/>
              <w:tabs>
                <w:tab w:val="right" w:leader="underscore" w:pos="8280"/>
              </w:tabs>
              <w:spacing w:after="0" w:line="276" w:lineRule="auto"/>
              <w:ind w:right="279"/>
              <w:jc w:val="both"/>
              <w:rPr>
                <w:rFonts w:ascii="Arial" w:hAnsi="Arial" w:cs="Arial"/>
                <w:sz w:val="22"/>
                <w:szCs w:val="22"/>
              </w:rPr>
            </w:pP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2.6</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Jei Tiekėjui atliekant darbus pažeidžiamas greta esantis inžinerinis statinys ar inžinerinės komunikacijos, Tiekėjas prisiima visą atsakomybę ir kaštus susijusius su pažeidimo pašalinimu;</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2.7</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Tiekėjas turi įžeminti generatoriaus metalinius komponentus kaip tai numato EĮĮT;</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lastRenderedPageBreak/>
              <w:t>2.8</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tiekėjo lėšomis turi būti pristatytas, iškrautas, turi turėti gamyklos bandymų po apkrova protokolus.</w:t>
            </w:r>
          </w:p>
          <w:p w:rsidR="00755D30" w:rsidRDefault="00E62734">
            <w:pPr>
              <w:pStyle w:val="BodyText2"/>
              <w:widowControl w:val="0"/>
              <w:tabs>
                <w:tab w:val="right" w:leader="underscore" w:pos="8280"/>
              </w:tabs>
              <w:spacing w:after="0" w:line="276" w:lineRule="auto"/>
              <w:ind w:right="279"/>
              <w:rPr>
                <w:rFonts w:ascii="Arial" w:hAnsi="Arial" w:cs="Arial"/>
                <w:sz w:val="22"/>
                <w:szCs w:val="22"/>
                <w:lang w:val="en-US"/>
              </w:rPr>
            </w:pPr>
            <w:r>
              <w:rPr>
                <w:rFonts w:ascii="Arial" w:hAnsi="Arial" w:cs="Arial"/>
                <w:sz w:val="22"/>
                <w:szCs w:val="22"/>
              </w:rPr>
              <w:t>Generatorių bandymas atliekamas esant šuoliniam 25</w:t>
            </w:r>
            <w:r>
              <w:rPr>
                <w:rFonts w:ascii="Arial" w:hAnsi="Arial" w:cs="Arial"/>
                <w:sz w:val="22"/>
                <w:szCs w:val="22"/>
                <w:lang w:val="en-US"/>
              </w:rPr>
              <w:t xml:space="preserve">%, 50%, 75% </w:t>
            </w:r>
            <w:r>
              <w:rPr>
                <w:rFonts w:ascii="Arial" w:hAnsi="Arial" w:cs="Arial"/>
                <w:sz w:val="22"/>
                <w:szCs w:val="22"/>
              </w:rPr>
              <w:t>ir 100% apkrovimui</w:t>
            </w:r>
            <w:r>
              <w:rPr>
                <w:rFonts w:ascii="Arial" w:hAnsi="Arial" w:cs="Arial"/>
                <w:sz w:val="22"/>
                <w:szCs w:val="22"/>
                <w:lang w:val="en-US"/>
              </w:rPr>
              <w:t>.</w:t>
            </w:r>
          </w:p>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Kiekvienam apkrovos šuoliui turi būti išmatuota:</w:t>
            </w:r>
          </w:p>
          <w:p w:rsidR="00755D30" w:rsidRDefault="00E62734">
            <w:pPr>
              <w:pStyle w:val="BodyText2"/>
              <w:widowControl w:val="0"/>
              <w:numPr>
                <w:ilvl w:val="0"/>
                <w:numId w:val="4"/>
              </w:numPr>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įtampos pokytis (V, </w:t>
            </w:r>
            <w:r>
              <w:rPr>
                <w:rFonts w:ascii="Arial" w:hAnsi="Arial" w:cs="Arial"/>
                <w:sz w:val="22"/>
                <w:szCs w:val="22"/>
                <w:lang w:val="en-US"/>
              </w:rPr>
              <w:t>%);</w:t>
            </w:r>
          </w:p>
          <w:p w:rsidR="00755D30" w:rsidRDefault="00E62734">
            <w:pPr>
              <w:pStyle w:val="BodyText2"/>
              <w:widowControl w:val="0"/>
              <w:numPr>
                <w:ilvl w:val="0"/>
                <w:numId w:val="4"/>
              </w:numPr>
              <w:tabs>
                <w:tab w:val="right" w:leader="underscore" w:pos="8280"/>
              </w:tabs>
              <w:spacing w:after="0" w:line="276" w:lineRule="auto"/>
              <w:ind w:right="279"/>
              <w:rPr>
                <w:rFonts w:ascii="Arial" w:hAnsi="Arial" w:cs="Arial"/>
                <w:sz w:val="22"/>
                <w:szCs w:val="22"/>
              </w:rPr>
            </w:pPr>
            <w:r>
              <w:rPr>
                <w:rFonts w:ascii="Arial" w:hAnsi="Arial" w:cs="Arial"/>
                <w:sz w:val="22"/>
                <w:szCs w:val="22"/>
              </w:rPr>
              <w:t>dažnio pokytis (Hz, %);</w:t>
            </w:r>
          </w:p>
          <w:p w:rsidR="00755D30" w:rsidRDefault="00E62734">
            <w:pPr>
              <w:pStyle w:val="BodyText2"/>
              <w:widowControl w:val="0"/>
              <w:numPr>
                <w:ilvl w:val="0"/>
                <w:numId w:val="4"/>
              </w:numPr>
              <w:tabs>
                <w:tab w:val="right" w:leader="underscore" w:pos="8280"/>
              </w:tabs>
              <w:spacing w:after="0" w:line="276" w:lineRule="auto"/>
              <w:ind w:right="279"/>
              <w:rPr>
                <w:rFonts w:ascii="Arial" w:hAnsi="Arial" w:cs="Arial"/>
                <w:sz w:val="22"/>
                <w:szCs w:val="22"/>
              </w:rPr>
            </w:pPr>
            <w:r>
              <w:rPr>
                <w:rFonts w:ascii="Arial" w:hAnsi="Arial" w:cs="Arial"/>
                <w:sz w:val="22"/>
                <w:szCs w:val="22"/>
              </w:rPr>
              <w:t>laikas nuo įtampos kritimo/šuolio iki nominalios įtampos atsistatymo (s);</w:t>
            </w:r>
          </w:p>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Turi būti pateikti bandymų protokolai, kuriuose būtų įrašytos bandymų metu išmatuotos ir užfiksuotos reikšmės;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2.9</w:t>
            </w:r>
          </w:p>
        </w:tc>
        <w:tc>
          <w:tcPr>
            <w:tcW w:w="9791" w:type="dxa"/>
            <w:shd w:val="clear" w:color="auto" w:fill="auto"/>
            <w:vAlign w:val="center"/>
          </w:tcPr>
          <w:p w:rsidR="00755D30" w:rsidRPr="004278B4"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w:t>
            </w:r>
            <w:r w:rsidR="004278B4">
              <w:rPr>
                <w:rFonts w:ascii="Arial" w:hAnsi="Arial" w:cs="Arial"/>
                <w:sz w:val="22"/>
                <w:szCs w:val="22"/>
              </w:rPr>
              <w:t xml:space="preserve"> ir ARĮ skydo</w:t>
            </w:r>
            <w:r>
              <w:rPr>
                <w:rFonts w:ascii="Arial" w:hAnsi="Arial" w:cs="Arial"/>
                <w:sz w:val="22"/>
                <w:szCs w:val="22"/>
              </w:rPr>
              <w:t xml:space="preserve"> priėmimo metu tiekėjas turi pravesti 1 val. generatoriaus eksploatavimo ir valdymo mokymus</w:t>
            </w:r>
            <w:r w:rsidRPr="004278B4">
              <w:rPr>
                <w:rFonts w:ascii="Arial" w:hAnsi="Arial" w:cs="Arial"/>
                <w:sz w:val="22"/>
                <w:szCs w:val="22"/>
              </w:rPr>
              <w:t>;</w:t>
            </w:r>
          </w:p>
        </w:tc>
      </w:tr>
      <w:tr w:rsidR="00755D30">
        <w:trPr>
          <w:trHeight w:val="770"/>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2.10</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būti užpildytas degalų kiekiu, užtikrinančiu nenutrūkstamą darbą ne mažiau kaip 5 val. esant 100% apkrovimui;</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2.11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Teikdamas pasiūlymą Tiekėjas turi pateikti užpildytą pasiūlymo formą ir užpildytą perkamų elektros įrenginių ir jų sumontavimo darbų žiniaraštį (priedėlis Nr.2);</w:t>
            </w:r>
          </w:p>
        </w:tc>
      </w:tr>
      <w:tr w:rsidR="00755D30">
        <w:trPr>
          <w:trHeight w:val="1134"/>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b/>
                <w:sz w:val="22"/>
                <w:szCs w:val="22"/>
              </w:rPr>
            </w:pPr>
            <w:r>
              <w:rPr>
                <w:rFonts w:ascii="Arial" w:hAnsi="Arial" w:cs="Arial"/>
                <w:b/>
                <w:sz w:val="22"/>
                <w:szCs w:val="22"/>
              </w:rPr>
              <w:t>3.</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b/>
                <w:sz w:val="22"/>
                <w:szCs w:val="22"/>
              </w:rPr>
            </w:pPr>
            <w:r>
              <w:rPr>
                <w:rFonts w:ascii="Arial" w:hAnsi="Arial" w:cs="Arial"/>
                <w:b/>
                <w:sz w:val="22"/>
                <w:szCs w:val="22"/>
              </w:rPr>
              <w:t>Eksploatacinė aplinka</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3.1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eksploatavimo aplinkos temperatūros ribos:</w:t>
            </w:r>
          </w:p>
          <w:p w:rsidR="00755D30" w:rsidRDefault="00E62734">
            <w:pPr>
              <w:pStyle w:val="BodyText2"/>
              <w:widowControl w:val="0"/>
              <w:numPr>
                <w:ilvl w:val="0"/>
                <w:numId w:val="5"/>
              </w:numPr>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minimali riba turi būti nemažesnė kaip -30 </w:t>
            </w:r>
            <w:proofErr w:type="spellStart"/>
            <w:r>
              <w:rPr>
                <w:rFonts w:ascii="Arial" w:hAnsi="Arial" w:cs="Arial"/>
                <w:sz w:val="22"/>
                <w:szCs w:val="22"/>
                <w:vertAlign w:val="superscript"/>
              </w:rPr>
              <w:t>o</w:t>
            </w:r>
            <w:r>
              <w:rPr>
                <w:rFonts w:ascii="Arial" w:hAnsi="Arial" w:cs="Arial"/>
                <w:sz w:val="22"/>
                <w:szCs w:val="22"/>
              </w:rPr>
              <w:t>C</w:t>
            </w:r>
            <w:proofErr w:type="spellEnd"/>
            <w:r>
              <w:rPr>
                <w:rFonts w:ascii="Arial" w:hAnsi="Arial" w:cs="Arial"/>
                <w:sz w:val="22"/>
                <w:szCs w:val="22"/>
              </w:rPr>
              <w:t>,</w:t>
            </w:r>
          </w:p>
          <w:p w:rsidR="00755D30" w:rsidRDefault="00E62734">
            <w:pPr>
              <w:pStyle w:val="BodyText2"/>
              <w:widowControl w:val="0"/>
              <w:numPr>
                <w:ilvl w:val="0"/>
                <w:numId w:val="5"/>
              </w:numPr>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maksimali riba turi būti nemažesnė kaip +40 </w:t>
            </w:r>
            <w:proofErr w:type="spellStart"/>
            <w:r>
              <w:rPr>
                <w:rFonts w:ascii="Arial" w:hAnsi="Arial" w:cs="Arial"/>
                <w:sz w:val="22"/>
                <w:szCs w:val="22"/>
                <w:vertAlign w:val="superscript"/>
              </w:rPr>
              <w:t>o</w:t>
            </w:r>
            <w:r>
              <w:rPr>
                <w:rFonts w:ascii="Arial" w:hAnsi="Arial" w:cs="Arial"/>
                <w:sz w:val="22"/>
                <w:szCs w:val="22"/>
              </w:rPr>
              <w:t>C</w:t>
            </w:r>
            <w:proofErr w:type="spellEnd"/>
            <w:r>
              <w:rPr>
                <w:rFonts w:ascii="Arial" w:hAnsi="Arial" w:cs="Arial"/>
                <w:sz w:val="22"/>
                <w:szCs w:val="22"/>
              </w:rPr>
              <w:t>;</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3.2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būti atsparus staigiems klimato (krituliai, vėjas, temperatūra) pokyčiams;</w:t>
            </w:r>
          </w:p>
        </w:tc>
      </w:tr>
      <w:tr w:rsidR="00755D30">
        <w:trPr>
          <w:trHeight w:val="1134"/>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b/>
                <w:sz w:val="22"/>
                <w:szCs w:val="22"/>
              </w:rPr>
            </w:pPr>
            <w:r>
              <w:rPr>
                <w:rFonts w:ascii="Arial" w:hAnsi="Arial" w:cs="Arial"/>
                <w:b/>
                <w:sz w:val="22"/>
                <w:szCs w:val="22"/>
              </w:rPr>
              <w:t>4.</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b/>
                <w:sz w:val="22"/>
                <w:szCs w:val="22"/>
              </w:rPr>
            </w:pPr>
            <w:bookmarkStart w:id="2" w:name="_Hlk119447334"/>
            <w:r>
              <w:rPr>
                <w:rFonts w:ascii="Arial" w:hAnsi="Arial" w:cs="Arial"/>
                <w:b/>
                <w:sz w:val="22"/>
                <w:szCs w:val="22"/>
              </w:rPr>
              <w:t>Reikalavimai generatoriui</w:t>
            </w:r>
            <w:bookmarkEnd w:id="2"/>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rėmas turi būti pagamintas iš milteliniu būdu dažyto profilinio plieno;</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Kuro talpa turi būti integruota į generatoriaus rėmą;</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4.3</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Generatorius turi turėti uždarą, </w:t>
            </w:r>
            <w:r>
              <w:rPr>
                <w:rFonts w:ascii="Arial" w:hAnsi="Arial" w:cs="Arial"/>
                <w:color w:val="000000"/>
                <w:sz w:val="22"/>
                <w:szCs w:val="22"/>
              </w:rPr>
              <w:t xml:space="preserve">milteliniu būdu dažyto metalo </w:t>
            </w:r>
            <w:r>
              <w:rPr>
                <w:rFonts w:ascii="Arial" w:hAnsi="Arial" w:cs="Arial"/>
                <w:sz w:val="22"/>
                <w:szCs w:val="22"/>
              </w:rPr>
              <w:t>gaubtą su garso bei šilumine izoliacija;</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color w:val="C9211E"/>
              </w:rPr>
            </w:pPr>
            <w:r w:rsidRPr="001B465D">
              <w:rPr>
                <w:rFonts w:ascii="Arial" w:hAnsi="Arial" w:cs="Arial"/>
                <w:sz w:val="22"/>
                <w:szCs w:val="22"/>
              </w:rPr>
              <w:t>4.4</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pPr>
            <w:r>
              <w:rPr>
                <w:rFonts w:ascii="Arial" w:hAnsi="Arial" w:cs="Arial"/>
                <w:sz w:val="22"/>
                <w:szCs w:val="22"/>
              </w:rPr>
              <w:t>Generatoriaus variklis turi būti pritaikytas naudoti standartinį EN590 dyzelinį kurą;</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4.5</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Generatoriaus  kuro talpos tūris turi talpinti kuro kiekį, kurio užtektų netrumpesniam kaip 24 val. generatoriaus darbui esant 75 % apkrovimui; </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4.6</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eksploatacinių savybių klasė (įtampos nuokrypis staiga sumažėjus generatoriaus apkrovai nuo 100% iki 0%) pagal standartą ISO 8528 turi būti ne blogesnė kaip G2</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4.7</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Generatoriaus dyzelinis variklis turi būti valdomas ECU valdikliu ir užtikrinti stabilų variklio darbą staigiai besikeičiant apkrovai. </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4.8</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variklio aušinimo metodas – aušinimo skystis;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4.9</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trike/>
                <w:sz w:val="22"/>
                <w:szCs w:val="22"/>
              </w:rPr>
            </w:pPr>
            <w:r>
              <w:rPr>
                <w:rFonts w:ascii="Arial" w:hAnsi="Arial" w:cs="Arial"/>
                <w:sz w:val="22"/>
                <w:szCs w:val="22"/>
              </w:rPr>
              <w:t>Generatoriaus variklio užvedimas – elektrinis starteris;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4.10</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valdymo įtampa - 24VDC arba 12VDC;</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lastRenderedPageBreak/>
              <w:t>4.11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turėti gamintojo numatytos talpos (Ah) ir maksimalios atiduodamos srovės (A) akumuliatorius;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Akumuliatorių atjungimui turi būti sumontuotas „masės“ jungiklis;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4.13</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trike/>
                <w:sz w:val="22"/>
                <w:szCs w:val="22"/>
              </w:rPr>
            </w:pPr>
            <w:r>
              <w:rPr>
                <w:rFonts w:ascii="Arial" w:hAnsi="Arial" w:cs="Arial"/>
                <w:sz w:val="22"/>
                <w:szCs w:val="22"/>
              </w:rPr>
              <w:t xml:space="preserve">Generatorius turi turėti gamintojo įdiegtą stacionarų ir integruotą akumuliatoriaus </w:t>
            </w:r>
            <w:proofErr w:type="spellStart"/>
            <w:r>
              <w:rPr>
                <w:rFonts w:ascii="Arial" w:hAnsi="Arial" w:cs="Arial"/>
                <w:sz w:val="22"/>
                <w:szCs w:val="22"/>
              </w:rPr>
              <w:t>įkrovėją</w:t>
            </w:r>
            <w:proofErr w:type="spellEnd"/>
            <w:r>
              <w:rPr>
                <w:rFonts w:ascii="Arial" w:hAnsi="Arial" w:cs="Arial"/>
                <w:sz w:val="22"/>
                <w:szCs w:val="22"/>
              </w:rPr>
              <w:t xml:space="preserve"> įkrovimui iš ~230V elektros tinklo. </w:t>
            </w:r>
          </w:p>
        </w:tc>
      </w:tr>
      <w:tr w:rsidR="00755D30">
        <w:trPr>
          <w:trHeight w:val="1912"/>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4.14</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turėti valdymo bloką, kurio ekrane būtų rodoma:</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visų fazių įtampa (V);</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visų fazių srovė (A);</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vartojama elektros energijos galia (kW);</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kuro lygis talpoje;</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dirbtų valandų skaičius;</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gedimų atmintis;</w:t>
            </w:r>
          </w:p>
        </w:tc>
      </w:tr>
      <w:tr w:rsidR="00755D30">
        <w:trPr>
          <w:trHeight w:val="3890"/>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4.15</w:t>
            </w:r>
          </w:p>
        </w:tc>
        <w:tc>
          <w:tcPr>
            <w:tcW w:w="9791" w:type="dxa"/>
            <w:shd w:val="clear" w:color="auto" w:fill="auto"/>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turėti:</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automatinį įtampos reguliavimą;</w:t>
            </w:r>
          </w:p>
          <w:p w:rsidR="00755D30" w:rsidRDefault="00E62734">
            <w:pPr>
              <w:pStyle w:val="BodyText2"/>
              <w:widowControl w:val="0"/>
              <w:numPr>
                <w:ilvl w:val="0"/>
                <w:numId w:val="3"/>
              </w:numPr>
              <w:tabs>
                <w:tab w:val="right" w:leader="underscore" w:pos="8280"/>
              </w:tabs>
              <w:spacing w:line="276" w:lineRule="auto"/>
              <w:ind w:right="278"/>
              <w:contextualSpacing/>
            </w:pPr>
            <w:r>
              <w:rPr>
                <w:rFonts w:ascii="Arial" w:hAnsi="Arial" w:cs="Arial"/>
                <w:sz w:val="22"/>
                <w:szCs w:val="22"/>
              </w:rPr>
              <w:t>galimybę užvesti variklį su raktu (spynelė) esant avariniam atvejui kai neveikia valdiklis</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automatinį dažnio palaikymą ir apsaugą nuo dažnio svyravimų;</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 xml:space="preserve">aušinimo skysčio ir kuro pašildymo sistemą, užtikrinančią generatoriaus paleidimą, esant minimaliai aplinkos temperatūrai, nurodytai punkte 3.1; </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apsaugą nuo alyvos trūkumo;</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apsaugą nuo variklio perkaitimo;</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 xml:space="preserve">gedimo atveju - įspėjamąjį signalą ir automatinį išjungimą; </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avarinio stabdymo mygtuką;</w:t>
            </w:r>
          </w:p>
          <w:p w:rsidR="00755D30" w:rsidRDefault="00E62734">
            <w:pPr>
              <w:pStyle w:val="BodyText2"/>
              <w:widowControl w:val="0"/>
              <w:numPr>
                <w:ilvl w:val="0"/>
                <w:numId w:val="3"/>
              </w:numPr>
              <w:tabs>
                <w:tab w:val="right" w:leader="underscore" w:pos="8280"/>
              </w:tabs>
              <w:spacing w:after="0" w:line="276" w:lineRule="auto"/>
              <w:ind w:right="278"/>
              <w:contextualSpacing/>
              <w:rPr>
                <w:rFonts w:ascii="Arial" w:hAnsi="Arial" w:cs="Arial"/>
                <w:sz w:val="22"/>
                <w:szCs w:val="22"/>
              </w:rPr>
            </w:pPr>
            <w:r>
              <w:rPr>
                <w:rFonts w:ascii="Arial" w:hAnsi="Arial" w:cs="Arial"/>
                <w:sz w:val="22"/>
                <w:szCs w:val="22"/>
              </w:rPr>
              <w:t>vidaus apšvietimą apžiūrai ir aptarnavimui;</w:t>
            </w:r>
          </w:p>
          <w:p w:rsidR="00755D30" w:rsidRDefault="00E62734">
            <w:pPr>
              <w:pStyle w:val="BodyText2"/>
              <w:widowControl w:val="0"/>
              <w:numPr>
                <w:ilvl w:val="0"/>
                <w:numId w:val="3"/>
              </w:numPr>
              <w:tabs>
                <w:tab w:val="right" w:leader="underscore" w:pos="8280"/>
              </w:tabs>
              <w:spacing w:after="0" w:line="276" w:lineRule="auto"/>
              <w:ind w:right="278"/>
              <w:contextualSpacing/>
              <w:rPr>
                <w:rFonts w:ascii="Arial" w:hAnsi="Arial" w:cs="Arial"/>
                <w:sz w:val="22"/>
                <w:szCs w:val="22"/>
              </w:rPr>
            </w:pPr>
            <w:r>
              <w:rPr>
                <w:rFonts w:ascii="Arial" w:hAnsi="Arial" w:cs="Arial"/>
                <w:sz w:val="22"/>
                <w:szCs w:val="22"/>
              </w:rPr>
              <w:t>automatinio generatoriaus paleidimo / stabdymo ir automatinio apkrovos perjungimo nuo elektros tinklo prie generatoriaus ir atvirkščiai galimybę (tik valdymo signalų lygyje);</w:t>
            </w:r>
          </w:p>
          <w:p w:rsidR="00755D30" w:rsidRDefault="00E62734">
            <w:pPr>
              <w:pStyle w:val="BodyText2"/>
              <w:widowControl w:val="0"/>
              <w:numPr>
                <w:ilvl w:val="0"/>
                <w:numId w:val="3"/>
              </w:numPr>
              <w:tabs>
                <w:tab w:val="right" w:leader="underscore" w:pos="8280"/>
              </w:tabs>
              <w:spacing w:after="0" w:line="276" w:lineRule="auto"/>
              <w:ind w:right="278"/>
              <w:contextualSpacing/>
              <w:rPr>
                <w:rFonts w:ascii="Arial" w:hAnsi="Arial" w:cs="Arial"/>
                <w:sz w:val="22"/>
                <w:szCs w:val="22"/>
              </w:rPr>
            </w:pPr>
            <w:r>
              <w:rPr>
                <w:rFonts w:ascii="Arial" w:hAnsi="Arial" w:cs="Arial"/>
                <w:sz w:val="22"/>
                <w:szCs w:val="22"/>
              </w:rPr>
              <w:t xml:space="preserve">atitinkamos galios elektros srovę ribojantį automatinį </w:t>
            </w:r>
            <w:proofErr w:type="spellStart"/>
            <w:r>
              <w:rPr>
                <w:rFonts w:ascii="Arial" w:hAnsi="Arial" w:cs="Arial"/>
                <w:sz w:val="22"/>
                <w:szCs w:val="22"/>
              </w:rPr>
              <w:t>išjungėją</w:t>
            </w:r>
            <w:proofErr w:type="spellEnd"/>
            <w:r>
              <w:rPr>
                <w:rFonts w:ascii="Arial" w:hAnsi="Arial" w:cs="Arial"/>
                <w:sz w:val="22"/>
                <w:szCs w:val="22"/>
              </w:rPr>
              <w:t>;</w:t>
            </w:r>
          </w:p>
          <w:p w:rsidR="00755D30" w:rsidRDefault="00E62734">
            <w:pPr>
              <w:pStyle w:val="BodyText2"/>
              <w:widowControl w:val="0"/>
              <w:numPr>
                <w:ilvl w:val="0"/>
                <w:numId w:val="3"/>
              </w:numPr>
              <w:tabs>
                <w:tab w:val="right" w:leader="underscore" w:pos="8280"/>
              </w:tabs>
              <w:spacing w:after="0" w:line="276" w:lineRule="auto"/>
              <w:ind w:right="279"/>
              <w:rPr>
                <w:rFonts w:ascii="Arial" w:hAnsi="Arial" w:cs="Arial"/>
                <w:sz w:val="22"/>
                <w:szCs w:val="22"/>
              </w:rPr>
            </w:pPr>
            <w:r>
              <w:rPr>
                <w:rFonts w:ascii="Arial" w:hAnsi="Arial" w:cs="Arial"/>
                <w:sz w:val="22"/>
                <w:szCs w:val="22"/>
              </w:rPr>
              <w:t>išėjimo įtampos automatą varžtiniam kabelių prijungimui prie generatoriaus;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4.16</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valdymo, kabelių prijungimo prie išėjimo įtampos automato ir kuro talpos skyriai turi būti uždari ir užrakinami. Tiekėjas turi pateikti pirkėjui 3 komplektus generatoriaus užvedimo raktų; ir 3 komplektus durų užrakinimo raktų;</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4.17</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8"/>
              <w:contextualSpacing/>
              <w:rPr>
                <w:rFonts w:ascii="Arial" w:hAnsi="Arial" w:cs="Arial"/>
                <w:sz w:val="22"/>
                <w:szCs w:val="22"/>
              </w:rPr>
            </w:pPr>
            <w:r>
              <w:rPr>
                <w:rFonts w:ascii="Arial" w:hAnsi="Arial" w:cs="Arial"/>
                <w:sz w:val="22"/>
                <w:szCs w:val="22"/>
              </w:rPr>
              <w:t>Elektros generatorius turi būti , savaime susižadinantis, sinchroninis ir be sužadinimo šepetėlių</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4.18</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Elektros generatoriaus charakteristika:</w:t>
            </w:r>
          </w:p>
          <w:p w:rsidR="00755D30" w:rsidRDefault="00E62734">
            <w:pPr>
              <w:pStyle w:val="BodyText2"/>
              <w:widowControl w:val="0"/>
              <w:tabs>
                <w:tab w:val="right" w:leader="underscore" w:pos="8280"/>
              </w:tabs>
              <w:spacing w:after="0" w:line="276" w:lineRule="auto"/>
              <w:ind w:left="720" w:right="279"/>
              <w:rPr>
                <w:rFonts w:ascii="Arial" w:hAnsi="Arial" w:cs="Arial"/>
                <w:sz w:val="22"/>
                <w:szCs w:val="22"/>
              </w:rPr>
            </w:pPr>
            <w:r>
              <w:rPr>
                <w:rFonts w:ascii="Arial" w:hAnsi="Arial" w:cs="Arial"/>
                <w:sz w:val="22"/>
                <w:szCs w:val="22"/>
              </w:rPr>
              <w:t>Fazių skaičius         – 3;</w:t>
            </w:r>
          </w:p>
          <w:p w:rsidR="00755D30" w:rsidRDefault="00E62734">
            <w:pPr>
              <w:pStyle w:val="BodyText2"/>
              <w:widowControl w:val="0"/>
              <w:tabs>
                <w:tab w:val="right" w:leader="underscore" w:pos="8280"/>
              </w:tabs>
              <w:spacing w:after="0" w:line="276" w:lineRule="auto"/>
              <w:ind w:left="720" w:right="279"/>
              <w:rPr>
                <w:rFonts w:ascii="Arial" w:hAnsi="Arial" w:cs="Arial"/>
                <w:sz w:val="22"/>
                <w:szCs w:val="22"/>
                <w:lang w:val="en-US"/>
              </w:rPr>
            </w:pPr>
            <w:r>
              <w:rPr>
                <w:rFonts w:ascii="Arial" w:hAnsi="Arial" w:cs="Arial"/>
                <w:sz w:val="22"/>
                <w:szCs w:val="22"/>
              </w:rPr>
              <w:t>Dažnis                     – 50 Hz ±3</w:t>
            </w:r>
            <w:r>
              <w:rPr>
                <w:rFonts w:ascii="Arial" w:hAnsi="Arial" w:cs="Arial"/>
                <w:sz w:val="22"/>
                <w:szCs w:val="22"/>
                <w:lang w:val="en-US"/>
              </w:rPr>
              <w:t>%;</w:t>
            </w:r>
          </w:p>
          <w:p w:rsidR="00755D30" w:rsidRDefault="00E62734">
            <w:pPr>
              <w:pStyle w:val="BodyText2"/>
              <w:widowControl w:val="0"/>
              <w:tabs>
                <w:tab w:val="right" w:leader="underscore" w:pos="8280"/>
              </w:tabs>
              <w:spacing w:after="0" w:line="276" w:lineRule="auto"/>
              <w:ind w:left="720" w:right="279"/>
              <w:rPr>
                <w:rFonts w:ascii="Arial" w:hAnsi="Arial" w:cs="Arial"/>
                <w:sz w:val="22"/>
                <w:szCs w:val="22"/>
                <w:lang w:val="en-US"/>
              </w:rPr>
            </w:pPr>
            <w:r>
              <w:rPr>
                <w:rFonts w:ascii="Arial" w:hAnsi="Arial" w:cs="Arial"/>
                <w:sz w:val="22"/>
                <w:szCs w:val="22"/>
              </w:rPr>
              <w:t>Įtampa                     – 400/230V ±5</w:t>
            </w:r>
            <w:r>
              <w:rPr>
                <w:rFonts w:ascii="Arial" w:hAnsi="Arial" w:cs="Arial"/>
                <w:sz w:val="22"/>
                <w:szCs w:val="22"/>
                <w:lang w:val="en-US"/>
              </w:rPr>
              <w:t>%;</w:t>
            </w:r>
          </w:p>
          <w:p w:rsidR="00755D30" w:rsidRDefault="00E62734">
            <w:pPr>
              <w:pStyle w:val="BodyText2"/>
              <w:widowControl w:val="0"/>
              <w:tabs>
                <w:tab w:val="right" w:leader="underscore" w:pos="8280"/>
              </w:tabs>
              <w:spacing w:after="0" w:line="276" w:lineRule="auto"/>
              <w:ind w:left="720" w:right="279"/>
              <w:rPr>
                <w:rFonts w:ascii="Arial" w:hAnsi="Arial" w:cs="Arial"/>
                <w:sz w:val="22"/>
                <w:szCs w:val="22"/>
                <w:lang w:val="en-US"/>
              </w:rPr>
            </w:pPr>
            <w:r>
              <w:rPr>
                <w:rFonts w:ascii="Arial" w:hAnsi="Arial" w:cs="Arial"/>
                <w:sz w:val="22"/>
                <w:szCs w:val="22"/>
              </w:rPr>
              <w:t>Galios koeficientas</w:t>
            </w:r>
            <w:r>
              <w:rPr>
                <w:rFonts w:ascii="Arial" w:hAnsi="Arial" w:cs="Arial"/>
                <w:sz w:val="22"/>
                <w:szCs w:val="22"/>
                <w:lang w:val="en-US"/>
              </w:rPr>
              <w:t xml:space="preserve">  – ne </w:t>
            </w:r>
            <w:r>
              <w:rPr>
                <w:rFonts w:ascii="Arial" w:hAnsi="Arial" w:cs="Arial"/>
                <w:sz w:val="22"/>
                <w:szCs w:val="22"/>
              </w:rPr>
              <w:t>mažesnis kaip</w:t>
            </w:r>
            <w:r>
              <w:rPr>
                <w:rFonts w:ascii="Arial" w:hAnsi="Arial" w:cs="Arial"/>
                <w:sz w:val="22"/>
                <w:szCs w:val="22"/>
                <w:lang w:val="en-US"/>
              </w:rPr>
              <w:t xml:space="preserve"> 0,8 </w:t>
            </w:r>
            <w:r>
              <w:rPr>
                <w:rFonts w:ascii="Arial" w:hAnsi="Arial" w:cs="Arial"/>
                <w:sz w:val="22"/>
                <w:szCs w:val="22"/>
              </w:rPr>
              <w:t>esant nominaliam galingumui</w:t>
            </w:r>
            <w:r>
              <w:rPr>
                <w:rFonts w:ascii="Arial" w:hAnsi="Arial" w:cs="Arial"/>
                <w:sz w:val="22"/>
                <w:szCs w:val="22"/>
                <w:lang w:val="en-US"/>
              </w:rPr>
              <w:t>;</w:t>
            </w:r>
          </w:p>
          <w:p w:rsidR="00755D30" w:rsidRDefault="00E62734">
            <w:pPr>
              <w:pStyle w:val="BodyText2"/>
              <w:widowControl w:val="0"/>
              <w:tabs>
                <w:tab w:val="right" w:leader="underscore" w:pos="8280"/>
              </w:tabs>
              <w:spacing w:after="0" w:line="276" w:lineRule="auto"/>
              <w:ind w:left="691" w:right="278"/>
              <w:contextualSpacing/>
              <w:rPr>
                <w:rFonts w:ascii="Arial" w:hAnsi="Arial" w:cs="Arial"/>
                <w:sz w:val="22"/>
                <w:szCs w:val="22"/>
              </w:rPr>
            </w:pPr>
            <w:r>
              <w:rPr>
                <w:rFonts w:ascii="Arial" w:hAnsi="Arial" w:cs="Arial"/>
                <w:sz w:val="22"/>
                <w:szCs w:val="22"/>
              </w:rPr>
              <w:t xml:space="preserve"> Galia                        – turi atitikti 1.1 punkto reikalavimus;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4.19</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Elektros generatorius turi turėti ne mažesnę kaip IP-23 apsaugos klasę;</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4.20</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Elektros generatoriaus apvijos turi būti atsparios drėgmės poveikiui;</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4.21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Elektros generatoriaus apvijų izoliacijos klasė turi būti ne blogesnė kaip H;</w:t>
            </w:r>
          </w:p>
        </w:tc>
      </w:tr>
    </w:tbl>
    <w:p w:rsidR="00755D30" w:rsidRDefault="00755D30">
      <w:pPr>
        <w:pStyle w:val="BodyText2"/>
        <w:tabs>
          <w:tab w:val="right" w:leader="underscore" w:pos="8280"/>
        </w:tabs>
        <w:spacing w:line="240" w:lineRule="auto"/>
        <w:ind w:left="851" w:right="278"/>
        <w:rPr>
          <w:rFonts w:ascii="Arial" w:hAnsi="Arial" w:cs="Arial"/>
          <w:sz w:val="22"/>
          <w:szCs w:val="22"/>
        </w:rPr>
      </w:pP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right" w:leader="underscore" w:pos="8280"/>
        </w:tabs>
        <w:spacing w:line="240" w:lineRule="auto"/>
        <w:ind w:right="278"/>
        <w:rPr>
          <w:rFonts w:ascii="Arial" w:hAnsi="Arial" w:cs="Arial"/>
          <w:b/>
          <w:bCs/>
          <w:sz w:val="22"/>
          <w:szCs w:val="22"/>
        </w:rPr>
      </w:pPr>
      <w:r>
        <w:rPr>
          <w:rFonts w:ascii="Arial" w:hAnsi="Arial" w:cs="Arial"/>
          <w:b/>
          <w:bCs/>
          <w:sz w:val="22"/>
          <w:szCs w:val="22"/>
        </w:rPr>
        <w:t>Standartai</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right" w:leader="underscore" w:pos="8280"/>
        </w:tabs>
        <w:spacing w:line="240" w:lineRule="auto"/>
        <w:ind w:left="360" w:right="279" w:hanging="108"/>
        <w:rPr>
          <w:rFonts w:ascii="Arial" w:hAnsi="Arial" w:cs="Arial"/>
          <w:i/>
          <w:sz w:val="18"/>
          <w:szCs w:val="18"/>
        </w:rPr>
      </w:pPr>
      <w:r>
        <w:rPr>
          <w:rFonts w:ascii="Arial" w:hAnsi="Arial" w:cs="Arial"/>
          <w:i/>
          <w:sz w:val="22"/>
          <w:szCs w:val="22"/>
          <w:highlight w:val="lightGray"/>
        </w:rPr>
        <w:lastRenderedPageBreak/>
        <w:t>(</w:t>
      </w:r>
      <w:r>
        <w:rPr>
          <w:rFonts w:ascii="Arial" w:hAnsi="Arial" w:cs="Arial"/>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right" w:leader="underscore" w:pos="8280"/>
        </w:tabs>
        <w:spacing w:line="240" w:lineRule="auto"/>
        <w:ind w:left="360" w:right="279" w:hanging="108"/>
        <w:rPr>
          <w:rFonts w:ascii="Arial" w:hAnsi="Arial" w:cs="Arial"/>
          <w:i/>
          <w:sz w:val="18"/>
          <w:szCs w:val="18"/>
        </w:rPr>
      </w:pPr>
      <w:r>
        <w:rPr>
          <w:rFonts w:ascii="Arial" w:hAnsi="Arial" w:cs="Arial"/>
          <w:i/>
          <w:spacing w:val="-2"/>
          <w:sz w:val="18"/>
          <w:szCs w:val="18"/>
        </w:rPr>
        <w:t>Standartai gali būti tiek privalomo, tiek ir rekomendacinio pobūdžio. Jei tiekėjas privalo pademonstruoti pateiktų prekių atitikimą standartams, būdai ir priemonės tai atlikti turi būti aiškiai apibrėžtos.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right" w:leader="underscore" w:pos="8280"/>
        </w:tabs>
        <w:spacing w:line="240" w:lineRule="auto"/>
        <w:ind w:left="360" w:right="279" w:hanging="108"/>
        <w:rPr>
          <w:rFonts w:ascii="Arial" w:hAnsi="Arial" w:cs="Arial"/>
          <w:i/>
          <w:sz w:val="18"/>
          <w:szCs w:val="18"/>
        </w:rPr>
      </w:pPr>
      <w:r>
        <w:rPr>
          <w:rFonts w:ascii="Arial" w:hAnsi="Arial" w:cs="Arial"/>
          <w:i/>
          <w:spacing w:val="-2"/>
          <w:sz w:val="18"/>
          <w:szCs w:val="18"/>
        </w:rPr>
        <w:t>Techniniai reikalavimai, jei įmanoma, turi būti su nuoroda į galiojančius standartus.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right" w:leader="underscore" w:pos="8280"/>
        </w:tabs>
        <w:spacing w:line="240" w:lineRule="auto"/>
        <w:ind w:left="360" w:right="279" w:hanging="108"/>
        <w:rPr>
          <w:rFonts w:ascii="Arial" w:hAnsi="Arial" w:cs="Arial"/>
          <w:sz w:val="22"/>
          <w:szCs w:val="22"/>
        </w:rPr>
      </w:pPr>
      <w:r>
        <w:rPr>
          <w:rFonts w:ascii="Arial" w:hAnsi="Arial" w:cs="Arial"/>
          <w:sz w:val="22"/>
          <w:szCs w:val="22"/>
        </w:rPr>
        <w:t>Generatorius turi atitikti ISO tarptautinius standartus: ISO 8528</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right" w:leader="underscore" w:pos="8280"/>
        </w:tabs>
        <w:spacing w:line="240" w:lineRule="auto"/>
        <w:ind w:right="279" w:hanging="468"/>
        <w:rPr>
          <w:rFonts w:ascii="Arial" w:hAnsi="Arial" w:cs="Arial"/>
          <w:b/>
          <w:bCs/>
          <w:sz w:val="22"/>
          <w:szCs w:val="22"/>
        </w:rPr>
      </w:pPr>
      <w:r>
        <w:rPr>
          <w:rFonts w:ascii="Arial" w:hAnsi="Arial" w:cs="Arial"/>
          <w:b/>
          <w:bCs/>
          <w:sz w:val="22"/>
          <w:szCs w:val="22"/>
        </w:rPr>
        <w:t>Licencijos, sertifikavimas, Specialieji kvalifikaciniai reikalavimai tiekėjui</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18"/>
          <w:szCs w:val="18"/>
        </w:rPr>
        <w:t xml:space="preserve">6.1. </w:t>
      </w:r>
      <w:r>
        <w:rPr>
          <w:rFonts w:ascii="Arial" w:hAnsi="Arial" w:cs="Arial"/>
          <w:sz w:val="22"/>
          <w:szCs w:val="22"/>
        </w:rPr>
        <w:t>Generatorius turi turėti ženklo CE atitikties sertifikatą</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Gamyba, tikrinimas ir testavimas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Numatomi specialūs reikalavimai dėl gamybos proceso, gamyklinės patikros ar testavimo, atliekamo iki pristatant į vietą.</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283" w:right="278" w:hanging="34"/>
        <w:jc w:val="both"/>
        <w:rPr>
          <w:rFonts w:ascii="Arial" w:hAnsi="Arial" w:cs="Arial"/>
          <w:sz w:val="22"/>
          <w:szCs w:val="22"/>
        </w:rPr>
      </w:pPr>
      <w:r>
        <w:rPr>
          <w:rFonts w:ascii="Arial" w:hAnsi="Arial" w:cs="Arial"/>
          <w:sz w:val="22"/>
          <w:szCs w:val="22"/>
        </w:rPr>
        <w:t xml:space="preserve">Nereikalaujama </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Pakuotės ir transportavimas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Numatomi reikalavimai prekės pakavimui bei transportavimui. Jei reikalaujama specifinės pakuotės ar transportavimo būdo, tai turi būti</w:t>
      </w:r>
      <w:r w:rsidR="000C1BEF">
        <w:rPr>
          <w:rFonts w:ascii="Arial" w:hAnsi="Arial" w:cs="Arial"/>
          <w:i/>
          <w:sz w:val="18"/>
          <w:szCs w:val="18"/>
        </w:rPr>
        <w:t xml:space="preserve"> </w:t>
      </w:r>
      <w:r>
        <w:rPr>
          <w:rFonts w:ascii="Arial" w:hAnsi="Arial" w:cs="Arial"/>
          <w:i/>
          <w:sz w:val="18"/>
          <w:szCs w:val="18"/>
        </w:rPr>
        <w:t>numatyta.</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252" w:right="279" w:firstLine="10"/>
        <w:rPr>
          <w:rFonts w:ascii="Arial" w:hAnsi="Arial" w:cs="Arial"/>
          <w:sz w:val="22"/>
          <w:szCs w:val="22"/>
        </w:rPr>
      </w:pPr>
      <w:r>
        <w:rPr>
          <w:rFonts w:ascii="Arial" w:hAnsi="Arial" w:cs="Arial"/>
          <w:sz w:val="22"/>
          <w:szCs w:val="22"/>
        </w:rPr>
        <w:t>8.1. Tiekėjas atsako už transportavimą ir apmoka transportavimo išlaidas.</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Reikalavimai dėl pristatymo, įdiegimo/montavimo ir priėmimo–perdavimo</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800"/>
          <w:tab w:val="left" w:pos="8460"/>
        </w:tabs>
        <w:spacing w:line="240" w:lineRule="auto"/>
        <w:ind w:left="360" w:right="279" w:hanging="108"/>
        <w:rPr>
          <w:rFonts w:ascii="Arial" w:hAnsi="Arial" w:cs="Arial"/>
          <w:i/>
          <w:sz w:val="18"/>
          <w:szCs w:val="18"/>
        </w:rPr>
      </w:pPr>
      <w:r>
        <w:rPr>
          <w:rFonts w:ascii="Arial" w:hAnsi="Arial" w:cs="Arial"/>
          <w:i/>
          <w:sz w:val="18"/>
          <w:szCs w:val="18"/>
        </w:rPr>
        <w:t>Numatomi testai ar kitokio pobūdžio tikrinimai, kurie bus atlikti pristatymo vietoje, norint įsitikinti, ar prekės atitinka techninėje specifikacijoje nurodytus techninius reikalavimus.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9.1. generatorių ir ARĮ skydą pristatyti į Valstybinį patologijos centrą, Vilniaus universiteto ligoninės Santaros klinikų filialą , Petro Baublio g. 5, Vilnius.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9.2.  Generatoriaus ir ARĮ skydo pristatymas įforminamas priėmimo – perdavimo aktais, pasirašomais tiekėjo ir pirkėjo atstovų.</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567" w:right="279" w:hanging="315"/>
        <w:rPr>
          <w:rFonts w:ascii="Arial" w:hAnsi="Arial" w:cs="Arial"/>
          <w:sz w:val="22"/>
          <w:szCs w:val="22"/>
        </w:rPr>
      </w:pPr>
      <w:r>
        <w:rPr>
          <w:rFonts w:ascii="Arial" w:hAnsi="Arial" w:cs="Arial"/>
          <w:sz w:val="22"/>
          <w:szCs w:val="22"/>
        </w:rPr>
        <w:t>9.4. Visą Sutarties laikotarpį rangovas laikosi Valstybinio patologijos centro, Vilniaus universiteto ligoninės Santaros klinikų filialo sutartinių įsipareigojimų, aplinkosaugos, darbuotojų saugos ir sveikatos bei priešgaisrinės saugos reikalavi</w:t>
      </w:r>
      <w:r w:rsidR="003E5311">
        <w:rPr>
          <w:rFonts w:ascii="Arial" w:hAnsi="Arial" w:cs="Arial"/>
          <w:sz w:val="22"/>
          <w:szCs w:val="22"/>
        </w:rPr>
        <w:t>m</w:t>
      </w:r>
      <w:r>
        <w:rPr>
          <w:rFonts w:ascii="Arial" w:hAnsi="Arial" w:cs="Arial"/>
          <w:sz w:val="22"/>
          <w:szCs w:val="22"/>
        </w:rPr>
        <w:t>ų.</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Kokybės kontrolė</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Numatomi kokybės užtikrinimo reikalavimai, kuriais tiekėjas privalo vadovautis per visą sutarties įgyvendinimo laiką.</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 xml:space="preserve">Visu garantiniu laikotarpiu, įranga turi atitikti </w:t>
      </w:r>
      <w:r>
        <w:rPr>
          <w:rFonts w:ascii="Arial" w:hAnsi="Arial" w:cs="Arial"/>
          <w:spacing w:val="-2"/>
          <w:sz w:val="22"/>
          <w:szCs w:val="22"/>
        </w:rPr>
        <w:t>techninės specifikacijos reikalavimams.</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Dokumentacija, instrukcijos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11.1. Tiekėjas pateikia perduodamos prekės techninę dokumentaciją lietuvių arba anglų kalbomis.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11.2. Tiekėjas pateikia naudojimo instrukciją ir priežiūrą reglamentuojančią dokumentaciją lietuvių kalba.</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11.3.  Tiekėjas pateikia generatoriaus bandymo protokolus.</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sz w:val="22"/>
          <w:szCs w:val="22"/>
        </w:rPr>
      </w:pPr>
      <w:r>
        <w:rPr>
          <w:rFonts w:ascii="Arial" w:hAnsi="Arial" w:cs="Arial"/>
          <w:b/>
          <w:sz w:val="22"/>
          <w:szCs w:val="22"/>
        </w:rPr>
        <w:t>Intelektinės nuosavybės teisių perdavimas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lastRenderedPageBreak/>
        <w:t>Nereikalaujama</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Apmokymas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left" w:pos="8460"/>
        </w:tabs>
        <w:spacing w:line="240" w:lineRule="auto"/>
        <w:ind w:left="360" w:right="279" w:hanging="108"/>
        <w:rPr>
          <w:rFonts w:ascii="Arial" w:hAnsi="Arial" w:cs="Arial"/>
          <w:i/>
          <w:sz w:val="18"/>
          <w:szCs w:val="18"/>
        </w:rPr>
      </w:pPr>
      <w:r>
        <w:rPr>
          <w:rFonts w:ascii="Arial" w:hAnsi="Arial" w:cs="Arial"/>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left" w:pos="8460"/>
        </w:tabs>
        <w:spacing w:line="240" w:lineRule="auto"/>
        <w:ind w:left="374" w:right="279" w:hanging="122"/>
        <w:rPr>
          <w:rFonts w:ascii="Arial" w:hAnsi="Arial" w:cs="Arial"/>
          <w:sz w:val="22"/>
          <w:szCs w:val="22"/>
        </w:rPr>
      </w:pPr>
      <w:bookmarkStart w:id="3" w:name="_Hlk119451242"/>
      <w:r>
        <w:rPr>
          <w:rFonts w:ascii="Arial" w:hAnsi="Arial" w:cs="Arial"/>
          <w:sz w:val="22"/>
          <w:szCs w:val="22"/>
        </w:rPr>
        <w:t>Pravesti pirkėjo parinktam personalui generatoriaus ir ARĮ skydo valdymo ir techninio aptarnavimo1 val. mokymus.</w:t>
      </w:r>
      <w:bookmarkEnd w:id="3"/>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bookmarkStart w:id="4" w:name="_Hlk182463147"/>
      <w:r>
        <w:rPr>
          <w:rFonts w:ascii="Arial" w:hAnsi="Arial" w:cs="Arial"/>
          <w:b/>
          <w:bCs/>
          <w:sz w:val="22"/>
          <w:szCs w:val="22"/>
        </w:rPr>
        <w:t>Garantinio laikotarpio įsipareigojimai</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bCs/>
          <w:i/>
          <w:sz w:val="18"/>
          <w:szCs w:val="18"/>
        </w:rPr>
      </w:pPr>
      <w:r>
        <w:rPr>
          <w:rFonts w:ascii="Arial" w:hAnsi="Arial" w:cs="Arial"/>
          <w:bCs/>
          <w:i/>
          <w:sz w:val="18"/>
          <w:szCs w:val="18"/>
        </w:rPr>
        <w:t xml:space="preserve">Nurodyti minimalius reikalaujamus garantinio laikotarpio įsipareigojimus. </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709" w:right="279" w:hanging="457"/>
        <w:rPr>
          <w:rFonts w:ascii="Arial" w:hAnsi="Arial" w:cs="Arial"/>
          <w:bCs/>
          <w:sz w:val="22"/>
          <w:szCs w:val="22"/>
        </w:rPr>
      </w:pPr>
      <w:r>
        <w:rPr>
          <w:rFonts w:ascii="Arial" w:hAnsi="Arial" w:cs="Arial"/>
          <w:bCs/>
          <w:sz w:val="22"/>
          <w:szCs w:val="22"/>
        </w:rPr>
        <w:t>14.1.  Tiekėjas suteikia visai patiektai įrangai ne trumpesnę kaip 24 mėn., ir nemažiau kaip 1000 darbo valandų (moto val.)  per 24 mėnesius garantiją nuo priėmimo – perdavimo akto pasirašymo dienos.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709" w:right="279" w:hanging="457"/>
        <w:rPr>
          <w:rFonts w:ascii="Arial" w:hAnsi="Arial" w:cs="Arial"/>
          <w:bCs/>
          <w:sz w:val="22"/>
          <w:szCs w:val="22"/>
        </w:rPr>
      </w:pPr>
      <w:r>
        <w:rPr>
          <w:rFonts w:ascii="Arial" w:hAnsi="Arial" w:cs="Arial"/>
          <w:bCs/>
          <w:sz w:val="22"/>
          <w:szCs w:val="22"/>
        </w:rPr>
        <w:t>14.2.  Tiekėjas garantuoja, kad visa patiekta įranga atitinka techninėje specifikacijoje nurodytus standartus bei technines sąlygas. Tiekėjas atsako už prekės neatitikimą reikalavimams net jeigu tas neatitikimas paaiškėja vėliau po prekių perdavimo priėmimo akto pasirašymo. Atsiradusius defektus garantiniu laikotarpiu tiekėjas privalo pašalinti per 15 dienų nuo pranešimo apie defektą pateikimo datos. Garantiniu laikotarpiu paaiškėjus, kad įrangos gedimas nėra gamyklinis defektas, tiekėjas privalo per 15 dienų sutaisyti, prieš tai suderinęs darbų atlikimo sąmatą.</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709" w:right="279" w:hanging="457"/>
        <w:rPr>
          <w:rFonts w:ascii="Arial" w:hAnsi="Arial" w:cs="Arial"/>
          <w:bCs/>
          <w:sz w:val="22"/>
          <w:szCs w:val="22"/>
        </w:rPr>
      </w:pPr>
      <w:r>
        <w:rPr>
          <w:rFonts w:ascii="Arial" w:hAnsi="Arial" w:cs="Arial"/>
          <w:bCs/>
          <w:sz w:val="22"/>
          <w:szCs w:val="22"/>
        </w:rPr>
        <w:t>14.3.  Tiekėjas turi pateikti sutartį arba patvirtintą sertifikatą, suteikiantį teisę atstovauti gamintoją, atliekant garantinį remontą arba nurodyti gamintojo įgaliotus atstovus, ir pateikti tai patvirtinančius dokumentus, kurie kvalifikuotai gali atlikti visus garantinio remonto darbus. Sugedus patiektai įrangai tiekėjas turi pašalinti gedimą vietoje arba savo priemonėmis ir ištekliais pasiimti, sutaisyti ir grąžinti įrangą naudotojui.</w:t>
      </w:r>
    </w:p>
    <w:bookmarkEnd w:id="4"/>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Ženklinimas</w:t>
      </w:r>
    </w:p>
    <w:p w:rsidR="00755D30" w:rsidRDefault="00E62734">
      <w:pPr>
        <w:pBdr>
          <w:top w:val="single" w:sz="4" w:space="1" w:color="000000"/>
          <w:left w:val="single" w:sz="4" w:space="4" w:color="000000"/>
          <w:bottom w:val="single" w:sz="4" w:space="1" w:color="000000"/>
          <w:right w:val="single" w:sz="4" w:space="4" w:color="000000"/>
        </w:pBdr>
        <w:spacing w:after="288"/>
        <w:ind w:left="252" w:right="278" w:firstLine="14"/>
        <w:rPr>
          <w:i/>
          <w:sz w:val="18"/>
          <w:szCs w:val="18"/>
        </w:rPr>
      </w:pPr>
      <w:r>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Tuo atveju, kai perkančioji organizacija nereikalauja specialaus ženklo, atitinkančio aukščiau nurodytus reikalavimus, ji gali nurodyti, kokius ženklui keliamus reikalavimus turi atitikti perkamos prekės. </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Generatorius turi būti pažymėtas CE ženklu</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Kiti reikalavimai</w:t>
      </w:r>
    </w:p>
    <w:p w:rsidR="00755D30" w:rsidRDefault="00E62734">
      <w:pPr>
        <w:pStyle w:val="BodyTextIndent3"/>
        <w:widowControl w:val="0"/>
        <w:pBdr>
          <w:top w:val="single" w:sz="4" w:space="1" w:color="000000"/>
          <w:left w:val="single" w:sz="4" w:space="4" w:color="000000"/>
          <w:bottom w:val="single" w:sz="4" w:space="1" w:color="000000"/>
          <w:right w:val="single" w:sz="4" w:space="4" w:color="000000"/>
        </w:pBdr>
        <w:tabs>
          <w:tab w:val="clear" w:pos="4536"/>
          <w:tab w:val="left" w:pos="1122"/>
          <w:tab w:val="left" w:pos="8460"/>
        </w:tabs>
        <w:spacing w:before="120" w:after="120"/>
        <w:ind w:left="360" w:right="279" w:hanging="108"/>
        <w:rPr>
          <w:rFonts w:ascii="Arial" w:hAnsi="Arial" w:cs="Arial"/>
          <w:i/>
          <w:sz w:val="18"/>
          <w:szCs w:val="18"/>
        </w:rPr>
      </w:pPr>
      <w:r>
        <w:rPr>
          <w:rFonts w:ascii="Arial" w:hAnsi="Arial" w:cs="Arial"/>
          <w:sz w:val="18"/>
          <w:szCs w:val="18"/>
        </w:rPr>
        <w:t>ekonomiškai</w:t>
      </w:r>
      <w:r>
        <w:rPr>
          <w:rFonts w:ascii="Arial" w:hAnsi="Arial" w:cs="Arial"/>
          <w:spacing w:val="1"/>
          <w:sz w:val="18"/>
          <w:szCs w:val="18"/>
        </w:rPr>
        <w:t xml:space="preserve"> </w:t>
      </w:r>
      <w:r>
        <w:rPr>
          <w:rFonts w:ascii="Arial" w:hAnsi="Arial" w:cs="Arial"/>
          <w:sz w:val="18"/>
          <w:szCs w:val="18"/>
        </w:rPr>
        <w:t>naudingiausią</w:t>
      </w:r>
      <w:r>
        <w:rPr>
          <w:rFonts w:ascii="Arial" w:hAnsi="Arial" w:cs="Arial"/>
          <w:spacing w:val="18"/>
          <w:sz w:val="18"/>
          <w:szCs w:val="18"/>
        </w:rPr>
        <w:t xml:space="preserve"> </w:t>
      </w:r>
      <w:r>
        <w:rPr>
          <w:rFonts w:ascii="Arial" w:hAnsi="Arial" w:cs="Arial"/>
          <w:sz w:val="18"/>
          <w:szCs w:val="18"/>
        </w:rPr>
        <w:t>pasiūlymą</w:t>
      </w:r>
      <w:r>
        <w:rPr>
          <w:rFonts w:ascii="Arial" w:hAnsi="Arial" w:cs="Arial"/>
          <w:spacing w:val="19"/>
          <w:sz w:val="18"/>
          <w:szCs w:val="18"/>
        </w:rPr>
        <w:t xml:space="preserve"> </w:t>
      </w:r>
      <w:r>
        <w:rPr>
          <w:rFonts w:ascii="Arial" w:hAnsi="Arial" w:cs="Arial"/>
          <w:sz w:val="18"/>
          <w:szCs w:val="18"/>
        </w:rPr>
        <w:t>pateikęs</w:t>
      </w:r>
      <w:r>
        <w:rPr>
          <w:rFonts w:ascii="Arial" w:hAnsi="Arial" w:cs="Arial"/>
          <w:spacing w:val="19"/>
          <w:sz w:val="18"/>
          <w:szCs w:val="18"/>
        </w:rPr>
        <w:t xml:space="preserve"> </w:t>
      </w:r>
      <w:r>
        <w:rPr>
          <w:rFonts w:ascii="Arial" w:hAnsi="Arial" w:cs="Arial"/>
          <w:sz w:val="18"/>
          <w:szCs w:val="18"/>
          <w:u w:val="single"/>
        </w:rPr>
        <w:t>galimas laimėtojas</w:t>
      </w:r>
      <w:r>
        <w:rPr>
          <w:rFonts w:ascii="Arial" w:hAnsi="Arial" w:cs="Arial"/>
          <w:spacing w:val="18"/>
          <w:sz w:val="18"/>
          <w:szCs w:val="18"/>
          <w:u w:val="single"/>
        </w:rPr>
        <w:t xml:space="preserve"> </w:t>
      </w:r>
      <w:r>
        <w:rPr>
          <w:rFonts w:ascii="Arial" w:hAnsi="Arial" w:cs="Arial"/>
          <w:sz w:val="18"/>
          <w:szCs w:val="18"/>
          <w:u w:val="single"/>
        </w:rPr>
        <w:t>pateiktų</w:t>
      </w:r>
      <w:r>
        <w:rPr>
          <w:spacing w:val="19"/>
          <w:szCs w:val="24"/>
        </w:rPr>
        <w:t xml:space="preserve"> </w:t>
      </w:r>
      <w:r>
        <w:rPr>
          <w:rFonts w:ascii="Arial" w:hAnsi="Arial" w:cs="Arial"/>
          <w:i/>
          <w:sz w:val="18"/>
          <w:szCs w:val="18"/>
        </w:rPr>
        <w:t>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rsidR="00755D30" w:rsidRDefault="00E62734">
      <w:pPr>
        <w:pBdr>
          <w:top w:val="single" w:sz="4" w:space="1" w:color="000000"/>
          <w:left w:val="single" w:sz="4" w:space="4" w:color="000000"/>
          <w:bottom w:val="single" w:sz="4" w:space="1" w:color="000000"/>
          <w:right w:val="single" w:sz="4" w:space="4" w:color="000000"/>
        </w:pBdr>
        <w:tabs>
          <w:tab w:val="left" w:pos="1122"/>
          <w:tab w:val="left" w:pos="8460"/>
        </w:tabs>
        <w:spacing w:before="120" w:after="120"/>
        <w:ind w:left="360" w:right="279" w:hanging="108"/>
        <w:jc w:val="both"/>
        <w:rPr>
          <w:sz w:val="18"/>
          <w:szCs w:val="18"/>
        </w:rPr>
      </w:pPr>
      <w:r>
        <w:rPr>
          <w:sz w:val="18"/>
          <w:szCs w:val="18"/>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w:t>
      </w:r>
      <w:r>
        <w:rPr>
          <w:i/>
          <w:sz w:val="18"/>
          <w:szCs w:val="18"/>
        </w:rPr>
        <w:t>4.4.4.4. prekė yra tvirta, ilgaamžė, funkcionali, ji ar jos sudedamosios dalys tinka naudoti daug kartų ir (ar) lengvai pataisomos, ir (ar) pakeičiamos</w:t>
      </w:r>
      <w:r>
        <w:rPr>
          <w:sz w:val="18"/>
          <w:szCs w:val="18"/>
        </w:rPr>
        <w:t>“.</w:t>
      </w:r>
    </w:p>
    <w:p w:rsidR="00755D30" w:rsidRDefault="00755D30">
      <w:pPr>
        <w:rPr>
          <w:sz w:val="22"/>
          <w:szCs w:val="22"/>
        </w:rPr>
      </w:pPr>
    </w:p>
    <w:sectPr w:rsidR="00755D30">
      <w:pgSz w:w="12240" w:h="15840"/>
      <w:pgMar w:top="567" w:right="720" w:bottom="720" w:left="720" w:header="0" w:footer="0" w:gutter="0"/>
      <w:cols w:space="720"/>
      <w:formProt w:val="0"/>
      <w:docGrid w:linePitch="272"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7129"/>
    <w:multiLevelType w:val="multilevel"/>
    <w:tmpl w:val="1A34899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color w:val="221815"/>
      </w:rPr>
    </w:lvl>
    <w:lvl w:ilvl="2">
      <w:start w:val="1"/>
      <w:numFmt w:val="decimal"/>
      <w:lvlText w:val="%1.%2.%3"/>
      <w:lvlJc w:val="left"/>
      <w:pPr>
        <w:tabs>
          <w:tab w:val="num" w:pos="0"/>
        </w:tabs>
        <w:ind w:left="720" w:hanging="360"/>
      </w:pPr>
      <w:rPr>
        <w:color w:val="221815"/>
      </w:rPr>
    </w:lvl>
    <w:lvl w:ilvl="3">
      <w:start w:val="1"/>
      <w:numFmt w:val="decimal"/>
      <w:lvlText w:val="%1.%2.%3.%4"/>
      <w:lvlJc w:val="left"/>
      <w:pPr>
        <w:tabs>
          <w:tab w:val="num" w:pos="0"/>
        </w:tabs>
        <w:ind w:left="1080" w:hanging="720"/>
      </w:pPr>
      <w:rPr>
        <w:color w:val="221815"/>
      </w:rPr>
    </w:lvl>
    <w:lvl w:ilvl="4">
      <w:start w:val="1"/>
      <w:numFmt w:val="decimal"/>
      <w:lvlText w:val="%1.%2.%3.%4.%5"/>
      <w:lvlJc w:val="left"/>
      <w:pPr>
        <w:tabs>
          <w:tab w:val="num" w:pos="0"/>
        </w:tabs>
        <w:ind w:left="1080" w:hanging="720"/>
      </w:pPr>
      <w:rPr>
        <w:color w:val="221815"/>
      </w:rPr>
    </w:lvl>
    <w:lvl w:ilvl="5">
      <w:start w:val="1"/>
      <w:numFmt w:val="decimal"/>
      <w:lvlText w:val="%1.%2.%3.%4.%5.%6"/>
      <w:lvlJc w:val="left"/>
      <w:pPr>
        <w:tabs>
          <w:tab w:val="num" w:pos="0"/>
        </w:tabs>
        <w:ind w:left="1440" w:hanging="1080"/>
      </w:pPr>
      <w:rPr>
        <w:color w:val="221815"/>
      </w:rPr>
    </w:lvl>
    <w:lvl w:ilvl="6">
      <w:start w:val="1"/>
      <w:numFmt w:val="decimal"/>
      <w:lvlText w:val="%1.%2.%3.%4.%5.%6.%7"/>
      <w:lvlJc w:val="left"/>
      <w:pPr>
        <w:tabs>
          <w:tab w:val="num" w:pos="0"/>
        </w:tabs>
        <w:ind w:left="1440" w:hanging="1080"/>
      </w:pPr>
      <w:rPr>
        <w:color w:val="221815"/>
      </w:rPr>
    </w:lvl>
    <w:lvl w:ilvl="7">
      <w:start w:val="1"/>
      <w:numFmt w:val="decimal"/>
      <w:lvlText w:val="%1.%2.%3.%4.%5.%6.%7.%8"/>
      <w:lvlJc w:val="left"/>
      <w:pPr>
        <w:tabs>
          <w:tab w:val="num" w:pos="0"/>
        </w:tabs>
        <w:ind w:left="1440" w:hanging="1080"/>
      </w:pPr>
      <w:rPr>
        <w:color w:val="221815"/>
      </w:rPr>
    </w:lvl>
    <w:lvl w:ilvl="8">
      <w:start w:val="1"/>
      <w:numFmt w:val="decimal"/>
      <w:lvlText w:val="%1.%2.%3.%4.%5.%6.%7.%8.%9"/>
      <w:lvlJc w:val="left"/>
      <w:pPr>
        <w:tabs>
          <w:tab w:val="num" w:pos="0"/>
        </w:tabs>
        <w:ind w:left="1800" w:hanging="1440"/>
      </w:pPr>
      <w:rPr>
        <w:color w:val="221815"/>
      </w:rPr>
    </w:lvl>
  </w:abstractNum>
  <w:abstractNum w:abstractNumId="1" w15:restartNumberingAfterBreak="0">
    <w:nsid w:val="1E4C0588"/>
    <w:multiLevelType w:val="multilevel"/>
    <w:tmpl w:val="DB2CAD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0C669A"/>
    <w:multiLevelType w:val="multilevel"/>
    <w:tmpl w:val="E37EEFD8"/>
    <w:lvl w:ilvl="0">
      <w:start w:val="1"/>
      <w:numFmt w:val="bullet"/>
      <w:lvlText w:val=""/>
      <w:lvlJc w:val="left"/>
      <w:pPr>
        <w:tabs>
          <w:tab w:val="num" w:pos="0"/>
        </w:tabs>
        <w:ind w:left="774" w:hanging="360"/>
      </w:pPr>
      <w:rPr>
        <w:rFonts w:ascii="Symbol" w:hAnsi="Symbol" w:cs="Symbol" w:hint="default"/>
      </w:rPr>
    </w:lvl>
    <w:lvl w:ilvl="1">
      <w:start w:val="1"/>
      <w:numFmt w:val="bullet"/>
      <w:lvlText w:val="o"/>
      <w:lvlJc w:val="left"/>
      <w:pPr>
        <w:tabs>
          <w:tab w:val="num" w:pos="0"/>
        </w:tabs>
        <w:ind w:left="1494" w:hanging="360"/>
      </w:pPr>
      <w:rPr>
        <w:rFonts w:ascii="Courier New" w:hAnsi="Courier New" w:cs="Courier New" w:hint="default"/>
      </w:rPr>
    </w:lvl>
    <w:lvl w:ilvl="2">
      <w:start w:val="1"/>
      <w:numFmt w:val="bullet"/>
      <w:lvlText w:val=""/>
      <w:lvlJc w:val="left"/>
      <w:pPr>
        <w:tabs>
          <w:tab w:val="num" w:pos="0"/>
        </w:tabs>
        <w:ind w:left="2214" w:hanging="360"/>
      </w:pPr>
      <w:rPr>
        <w:rFonts w:ascii="Wingdings" w:hAnsi="Wingdings" w:cs="Wingdings" w:hint="default"/>
      </w:rPr>
    </w:lvl>
    <w:lvl w:ilvl="3">
      <w:start w:val="1"/>
      <w:numFmt w:val="bullet"/>
      <w:lvlText w:val=""/>
      <w:lvlJc w:val="left"/>
      <w:pPr>
        <w:tabs>
          <w:tab w:val="num" w:pos="0"/>
        </w:tabs>
        <w:ind w:left="2934" w:hanging="360"/>
      </w:pPr>
      <w:rPr>
        <w:rFonts w:ascii="Symbol" w:hAnsi="Symbol" w:cs="Symbol" w:hint="default"/>
      </w:rPr>
    </w:lvl>
    <w:lvl w:ilvl="4">
      <w:start w:val="1"/>
      <w:numFmt w:val="bullet"/>
      <w:lvlText w:val="o"/>
      <w:lvlJc w:val="left"/>
      <w:pPr>
        <w:tabs>
          <w:tab w:val="num" w:pos="0"/>
        </w:tabs>
        <w:ind w:left="3654" w:hanging="360"/>
      </w:pPr>
      <w:rPr>
        <w:rFonts w:ascii="Courier New" w:hAnsi="Courier New" w:cs="Courier New" w:hint="default"/>
      </w:rPr>
    </w:lvl>
    <w:lvl w:ilvl="5">
      <w:start w:val="1"/>
      <w:numFmt w:val="bullet"/>
      <w:lvlText w:val=""/>
      <w:lvlJc w:val="left"/>
      <w:pPr>
        <w:tabs>
          <w:tab w:val="num" w:pos="0"/>
        </w:tabs>
        <w:ind w:left="4374" w:hanging="360"/>
      </w:pPr>
      <w:rPr>
        <w:rFonts w:ascii="Wingdings" w:hAnsi="Wingdings" w:cs="Wingdings" w:hint="default"/>
      </w:rPr>
    </w:lvl>
    <w:lvl w:ilvl="6">
      <w:start w:val="1"/>
      <w:numFmt w:val="bullet"/>
      <w:lvlText w:val=""/>
      <w:lvlJc w:val="left"/>
      <w:pPr>
        <w:tabs>
          <w:tab w:val="num" w:pos="0"/>
        </w:tabs>
        <w:ind w:left="5094" w:hanging="360"/>
      </w:pPr>
      <w:rPr>
        <w:rFonts w:ascii="Symbol" w:hAnsi="Symbol" w:cs="Symbol" w:hint="default"/>
      </w:rPr>
    </w:lvl>
    <w:lvl w:ilvl="7">
      <w:start w:val="1"/>
      <w:numFmt w:val="bullet"/>
      <w:lvlText w:val="o"/>
      <w:lvlJc w:val="left"/>
      <w:pPr>
        <w:tabs>
          <w:tab w:val="num" w:pos="0"/>
        </w:tabs>
        <w:ind w:left="5814" w:hanging="360"/>
      </w:pPr>
      <w:rPr>
        <w:rFonts w:ascii="Courier New" w:hAnsi="Courier New" w:cs="Courier New" w:hint="default"/>
      </w:rPr>
    </w:lvl>
    <w:lvl w:ilvl="8">
      <w:start w:val="1"/>
      <w:numFmt w:val="bullet"/>
      <w:lvlText w:val=""/>
      <w:lvlJc w:val="left"/>
      <w:pPr>
        <w:tabs>
          <w:tab w:val="num" w:pos="0"/>
        </w:tabs>
        <w:ind w:left="6534" w:hanging="360"/>
      </w:pPr>
      <w:rPr>
        <w:rFonts w:ascii="Wingdings" w:hAnsi="Wingdings" w:cs="Wingdings" w:hint="default"/>
      </w:rPr>
    </w:lvl>
  </w:abstractNum>
  <w:abstractNum w:abstractNumId="3" w15:restartNumberingAfterBreak="0">
    <w:nsid w:val="59747893"/>
    <w:multiLevelType w:val="multilevel"/>
    <w:tmpl w:val="BFF6E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6E29677C"/>
    <w:multiLevelType w:val="hybridMultilevel"/>
    <w:tmpl w:val="0AC20CE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E0501F"/>
    <w:multiLevelType w:val="multilevel"/>
    <w:tmpl w:val="D74616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59703D1"/>
    <w:multiLevelType w:val="multilevel"/>
    <w:tmpl w:val="0C3A7E8C"/>
    <w:lvl w:ilvl="0">
      <w:start w:val="3"/>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0"/>
  </w:num>
  <w:num w:numId="2">
    <w:abstractNumId w:val="5"/>
  </w:num>
  <w:num w:numId="3">
    <w:abstractNumId w:val="3"/>
  </w:num>
  <w:num w:numId="4">
    <w:abstractNumId w:val="2"/>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autoHyphenation/>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D30"/>
    <w:rsid w:val="000C1BEF"/>
    <w:rsid w:val="001B465D"/>
    <w:rsid w:val="002554F4"/>
    <w:rsid w:val="002E7518"/>
    <w:rsid w:val="003B7529"/>
    <w:rsid w:val="003E5311"/>
    <w:rsid w:val="004278B4"/>
    <w:rsid w:val="00755D30"/>
    <w:rsid w:val="00813392"/>
    <w:rsid w:val="00B06556"/>
    <w:rsid w:val="00BA1E58"/>
    <w:rsid w:val="00CC6338"/>
    <w:rsid w:val="00E62734"/>
    <w:rsid w:val="00E93892"/>
    <w:rsid w:val="00F0016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7D11E3-9C14-4206-9E3B-B46F1A839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2520"/>
    <w:pPr>
      <w:widowControl w:val="0"/>
      <w:ind w:firstLine="720"/>
    </w:pPr>
    <w:rPr>
      <w:rFonts w:ascii="Arial" w:hAnsi="Arial" w:cs="Arial"/>
      <w:szCs w:val="24"/>
    </w:rPr>
  </w:style>
  <w:style w:type="paragraph" w:styleId="Heading1">
    <w:name w:val="heading 1"/>
    <w:basedOn w:val="Normal"/>
    <w:next w:val="Normal"/>
    <w:link w:val="Heading1Char"/>
    <w:uiPriority w:val="9"/>
    <w:qFormat/>
    <w:rsid w:val="003B78B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3Char">
    <w:name w:val="Body Text Indent 3 Char"/>
    <w:basedOn w:val="DefaultParagraphFont"/>
    <w:link w:val="BodyTextIndent3"/>
    <w:qFormat/>
    <w:rsid w:val="007F2520"/>
    <w:rPr>
      <w:sz w:val="24"/>
    </w:rPr>
  </w:style>
  <w:style w:type="character" w:styleId="CommentReference">
    <w:name w:val="annotation reference"/>
    <w:uiPriority w:val="99"/>
    <w:semiHidden/>
    <w:qFormat/>
    <w:rsid w:val="007F2520"/>
    <w:rPr>
      <w:sz w:val="16"/>
      <w:szCs w:val="16"/>
    </w:rPr>
  </w:style>
  <w:style w:type="character" w:customStyle="1" w:styleId="CommentTextChar">
    <w:name w:val="Comment Text Char"/>
    <w:basedOn w:val="DefaultParagraphFont"/>
    <w:link w:val="CommentText"/>
    <w:uiPriority w:val="99"/>
    <w:qFormat/>
    <w:rsid w:val="007F2520"/>
    <w:rPr>
      <w:rFonts w:ascii="Arial" w:hAnsi="Arial"/>
      <w:lang w:val="sv-SE" w:eastAsia="en-US"/>
    </w:rPr>
  </w:style>
  <w:style w:type="character" w:customStyle="1" w:styleId="BodyText2Char">
    <w:name w:val="Body Text 2 Char"/>
    <w:basedOn w:val="DefaultParagraphFont"/>
    <w:link w:val="BodyText2"/>
    <w:qFormat/>
    <w:rsid w:val="007F2520"/>
    <w:rPr>
      <w:sz w:val="24"/>
    </w:rPr>
  </w:style>
  <w:style w:type="character" w:customStyle="1" w:styleId="BalloonTextChar">
    <w:name w:val="Balloon Text Char"/>
    <w:basedOn w:val="DefaultParagraphFont"/>
    <w:link w:val="BalloonText"/>
    <w:uiPriority w:val="99"/>
    <w:semiHidden/>
    <w:qFormat/>
    <w:rsid w:val="007F2520"/>
    <w:rPr>
      <w:rFonts w:ascii="Segoe UI" w:hAnsi="Segoe UI" w:cs="Segoe UI"/>
      <w:sz w:val="18"/>
      <w:szCs w:val="18"/>
    </w:rPr>
  </w:style>
  <w:style w:type="character" w:customStyle="1" w:styleId="alt-edited">
    <w:name w:val="alt-edited"/>
    <w:basedOn w:val="DefaultParagraphFont"/>
    <w:qFormat/>
    <w:rsid w:val="00392A35"/>
  </w:style>
  <w:style w:type="character" w:customStyle="1" w:styleId="Heading1Char">
    <w:name w:val="Heading 1 Char"/>
    <w:basedOn w:val="DefaultParagraphFont"/>
    <w:link w:val="Heading1"/>
    <w:uiPriority w:val="9"/>
    <w:qFormat/>
    <w:rsid w:val="003B78B1"/>
    <w:rPr>
      <w:rFonts w:asciiTheme="majorHAnsi" w:eastAsiaTheme="majorEastAsia" w:hAnsiTheme="majorHAnsi" w:cstheme="majorBidi"/>
      <w:color w:val="365F91" w:themeColor="accent1" w:themeShade="BF"/>
      <w:sz w:val="32"/>
      <w:szCs w:val="32"/>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rPr>
  </w:style>
  <w:style w:type="paragraph" w:customStyle="1" w:styleId="Index">
    <w:name w:val="Index"/>
    <w:basedOn w:val="Normal"/>
    <w:qFormat/>
    <w:pPr>
      <w:suppressLineNumbers/>
    </w:pPr>
    <w:rPr>
      <w:rFonts w:cs="Lucida Sans"/>
    </w:rPr>
  </w:style>
  <w:style w:type="paragraph" w:styleId="BodyTextIndent3">
    <w:name w:val="Body Text Indent 3"/>
    <w:basedOn w:val="Normal"/>
    <w:link w:val="BodyTextIndent3Char"/>
    <w:qFormat/>
    <w:rsid w:val="007F2520"/>
    <w:pPr>
      <w:widowControl/>
      <w:tabs>
        <w:tab w:val="left" w:pos="4536"/>
      </w:tabs>
      <w:ind w:firstLine="2268"/>
      <w:jc w:val="both"/>
    </w:pPr>
    <w:rPr>
      <w:rFonts w:ascii="Times New Roman" w:hAnsi="Times New Roman" w:cs="Times New Roman"/>
      <w:sz w:val="24"/>
      <w:szCs w:val="20"/>
    </w:rPr>
  </w:style>
  <w:style w:type="paragraph" w:styleId="CommentText">
    <w:name w:val="annotation text"/>
    <w:basedOn w:val="Normal"/>
    <w:link w:val="CommentTextChar"/>
    <w:uiPriority w:val="99"/>
    <w:qFormat/>
    <w:rsid w:val="007F2520"/>
    <w:pPr>
      <w:widowControl/>
      <w:spacing w:before="120" w:after="120"/>
      <w:ind w:firstLine="0"/>
    </w:pPr>
    <w:rPr>
      <w:rFonts w:cs="Times New Roman"/>
      <w:szCs w:val="20"/>
      <w:lang w:val="sv-SE" w:eastAsia="en-US"/>
    </w:rPr>
  </w:style>
  <w:style w:type="paragraph" w:styleId="BodyText2">
    <w:name w:val="Body Text 2"/>
    <w:basedOn w:val="Normal"/>
    <w:link w:val="BodyText2Char"/>
    <w:qFormat/>
    <w:rsid w:val="007F2520"/>
    <w:pPr>
      <w:widowControl/>
      <w:spacing w:after="120" w:line="480" w:lineRule="auto"/>
      <w:ind w:firstLine="0"/>
    </w:pPr>
    <w:rPr>
      <w:rFonts w:ascii="Times New Roman" w:hAnsi="Times New Roman" w:cs="Times New Roman"/>
      <w:sz w:val="24"/>
      <w:szCs w:val="20"/>
    </w:rPr>
  </w:style>
  <w:style w:type="paragraph" w:styleId="BalloonText">
    <w:name w:val="Balloon Text"/>
    <w:basedOn w:val="Normal"/>
    <w:link w:val="BalloonTextChar"/>
    <w:uiPriority w:val="99"/>
    <w:semiHidden/>
    <w:unhideWhenUsed/>
    <w:qFormat/>
    <w:rsid w:val="007F2520"/>
    <w:rPr>
      <w:rFonts w:ascii="Segoe UI" w:hAnsi="Segoe UI" w:cs="Segoe UI"/>
      <w:sz w:val="18"/>
      <w:szCs w:val="18"/>
    </w:rPr>
  </w:style>
  <w:style w:type="paragraph" w:styleId="ListParagraph">
    <w:name w:val="List Paragraph"/>
    <w:basedOn w:val="Normal"/>
    <w:uiPriority w:val="34"/>
    <w:qFormat/>
    <w:rsid w:val="00EC5943"/>
    <w:pPr>
      <w:ind w:left="720"/>
      <w:contextualSpacing/>
    </w:pPr>
  </w:style>
  <w:style w:type="paragraph" w:customStyle="1" w:styleId="Default">
    <w:name w:val="Default"/>
    <w:qFormat/>
    <w:rsid w:val="003D4097"/>
    <w:rPr>
      <w:color w:val="000000"/>
      <w:sz w:val="24"/>
      <w:szCs w:val="24"/>
    </w:rPr>
  </w:style>
  <w:style w:type="paragraph" w:styleId="NoSpacing">
    <w:name w:val="No Spacing"/>
    <w:uiPriority w:val="1"/>
    <w:qFormat/>
    <w:rsid w:val="003B78B1"/>
    <w:pPr>
      <w:widowControl w:val="0"/>
      <w:ind w:firstLine="720"/>
    </w:pPr>
    <w:rPr>
      <w:rFonts w:ascii="Arial" w:hAnsi="Arial" w:cs="Arial"/>
      <w:szCs w:val="24"/>
    </w:rPr>
  </w:style>
  <w:style w:type="table" w:styleId="TableGrid">
    <w:name w:val="Table Grid"/>
    <w:basedOn w:val="TableNormal"/>
    <w:uiPriority w:val="59"/>
    <w:rsid w:val="005C0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B2A5A-7518-4051-8E98-D81C8C26A407}">
  <ds:schemaRefs>
    <ds:schemaRef ds:uri="http://schemas.microsoft.com/sharepoint/v3/contenttype/forms"/>
  </ds:schemaRefs>
</ds:datastoreItem>
</file>

<file path=customXml/itemProps2.xml><?xml version="1.0" encoding="utf-8"?>
<ds:datastoreItem xmlns:ds="http://schemas.openxmlformats.org/officeDocument/2006/customXml" ds:itemID="{FFDDCA5C-4CE3-472E-A4CC-CE265FB85129}">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FD0E868A-00C2-4EB0-8880-E29B8D3B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1F31E-A736-47D4-A13D-F1A19827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2307</Words>
  <Characters>13153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Techninė specifikacija aktuali redakcija</vt:lpstr>
    </vt:vector>
  </TitlesOfParts>
  <Company>VPC</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aktuali redakcija</dc:title>
  <dc:subject/>
  <dc:creator>Arvydas Juška</dc:creator>
  <dc:description/>
  <cp:lastModifiedBy>Algimantas Varžgalys</cp:lastModifiedBy>
  <cp:revision>2</cp:revision>
  <cp:lastPrinted>2023-07-07T11:09:00Z</cp:lastPrinted>
  <dcterms:created xsi:type="dcterms:W3CDTF">2025-06-25T04:40:00Z</dcterms:created>
  <dcterms:modified xsi:type="dcterms:W3CDTF">2025-06-25T04:40:00Z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